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B6CEF" w14:textId="3D28683C" w:rsidR="00D6502E" w:rsidRPr="00B266B0" w:rsidRDefault="00D6502E" w:rsidP="00D6502E">
      <w:pPr>
        <w:pStyle w:val="Header"/>
        <w:tabs>
          <w:tab w:val="right" w:pos="9639"/>
        </w:tabs>
        <w:rPr>
          <w:bCs/>
          <w:i/>
          <w:noProof w:val="0"/>
          <w:sz w:val="24"/>
          <w:szCs w:val="24"/>
        </w:rPr>
      </w:pPr>
      <w:bookmarkStart w:id="0" w:name="_Hlk115085074"/>
      <w:r w:rsidRPr="003A41EF">
        <w:rPr>
          <w:bCs/>
          <w:noProof w:val="0"/>
          <w:sz w:val="24"/>
          <w:szCs w:val="24"/>
        </w:rPr>
        <w:t xml:space="preserve">3GPP TSG-RAN WG2 Meeting </w:t>
      </w:r>
      <w:r>
        <w:rPr>
          <w:bCs/>
          <w:noProof w:val="0"/>
          <w:sz w:val="24"/>
          <w:szCs w:val="24"/>
        </w:rPr>
        <w:t>#119bis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645EA">
        <w:rPr>
          <w:bCs/>
          <w:noProof w:val="0"/>
          <w:sz w:val="24"/>
          <w:szCs w:val="24"/>
        </w:rPr>
        <w:t>2210274</w:t>
      </w:r>
    </w:p>
    <w:p w14:paraId="05FE47DF" w14:textId="15A4C7D4" w:rsidR="00CD4C7B" w:rsidRPr="00B1063A" w:rsidRDefault="00D6502E" w:rsidP="00D6502E">
      <w:pPr>
        <w:pStyle w:val="Header"/>
        <w:rPr>
          <w:bCs/>
          <w:noProof w:val="0"/>
          <w:sz w:val="24"/>
          <w:lang w:val="en-US"/>
        </w:rPr>
      </w:pPr>
      <w:r w:rsidRPr="00A36F5F">
        <w:rPr>
          <w:sz w:val="24"/>
          <w:szCs w:val="24"/>
          <w:lang w:eastAsia="zh-CN"/>
        </w:rPr>
        <w:t xml:space="preserve">Elbonia, </w:t>
      </w:r>
      <w:r>
        <w:rPr>
          <w:sz w:val="24"/>
          <w:szCs w:val="24"/>
          <w:lang w:eastAsia="zh-CN"/>
        </w:rPr>
        <w:t>10</w:t>
      </w:r>
      <w:r w:rsidRPr="005C7CD5">
        <w:rPr>
          <w:sz w:val="24"/>
          <w:szCs w:val="24"/>
          <w:lang w:eastAsia="zh-CN"/>
        </w:rPr>
        <w:t xml:space="preserve"> – </w:t>
      </w:r>
      <w:r>
        <w:rPr>
          <w:sz w:val="24"/>
          <w:szCs w:val="24"/>
          <w:lang w:eastAsia="zh-CN"/>
        </w:rPr>
        <w:t>19</w:t>
      </w:r>
      <w:r w:rsidRPr="005C7CD5">
        <w:rPr>
          <w:sz w:val="24"/>
          <w:szCs w:val="24"/>
          <w:lang w:eastAsia="zh-CN"/>
        </w:rPr>
        <w:t xml:space="preserve"> </w:t>
      </w:r>
      <w:r>
        <w:rPr>
          <w:sz w:val="24"/>
          <w:szCs w:val="24"/>
          <w:lang w:eastAsia="zh-CN"/>
        </w:rPr>
        <w:t>October</w:t>
      </w:r>
      <w:r w:rsidRPr="005C7CD5">
        <w:rPr>
          <w:sz w:val="24"/>
          <w:szCs w:val="24"/>
          <w:lang w:eastAsia="zh-CN"/>
        </w:rPr>
        <w:t xml:space="preserve"> 2022</w:t>
      </w:r>
      <w:bookmarkEnd w:id="0"/>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r>
      <w:r>
        <w:rPr>
          <w:sz w:val="24"/>
          <w:szCs w:val="24"/>
          <w:lang w:eastAsia="zh-CN"/>
        </w:rPr>
        <w:tab/>
        <w:t xml:space="preserve">   </w:t>
      </w:r>
      <w:r>
        <w:rPr>
          <w:sz w:val="24"/>
          <w:szCs w:val="24"/>
          <w:lang w:eastAsia="zh-CN"/>
        </w:rPr>
        <w:tab/>
      </w:r>
    </w:p>
    <w:p w14:paraId="0717E73E" w14:textId="77777777" w:rsidR="00CD4C7B" w:rsidRPr="00B1063A" w:rsidRDefault="00CD4C7B" w:rsidP="00CD4C7B">
      <w:pPr>
        <w:pStyle w:val="Header"/>
        <w:rPr>
          <w:bCs/>
          <w:noProof w:val="0"/>
          <w:sz w:val="24"/>
          <w:lang w:val="en-US"/>
        </w:rPr>
      </w:pPr>
    </w:p>
    <w:p w14:paraId="3B0EF5F6" w14:textId="33625EF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640CC">
        <w:rPr>
          <w:rFonts w:cs="Arial"/>
          <w:b/>
          <w:bCs/>
          <w:sz w:val="24"/>
          <w:lang w:val="en-US" w:eastAsia="ja-JP"/>
        </w:rPr>
        <w:t>8.14.</w:t>
      </w:r>
      <w:r w:rsidR="00540CC5">
        <w:rPr>
          <w:rFonts w:cs="Arial"/>
          <w:b/>
          <w:bCs/>
          <w:sz w:val="24"/>
          <w:lang w:val="en-US" w:eastAsia="ja-JP"/>
        </w:rPr>
        <w:t>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A07145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300E">
        <w:rPr>
          <w:rFonts w:ascii="Arial" w:hAnsi="Arial" w:cs="Arial"/>
          <w:b/>
          <w:bCs/>
          <w:sz w:val="24"/>
        </w:rPr>
        <w:t xml:space="preserve">QMC </w:t>
      </w:r>
      <w:r w:rsidR="00540CC5">
        <w:rPr>
          <w:rFonts w:ascii="Arial" w:hAnsi="Arial" w:cs="Arial"/>
          <w:b/>
          <w:bCs/>
          <w:sz w:val="24"/>
        </w:rPr>
        <w:t>support in NR-DC</w:t>
      </w:r>
    </w:p>
    <w:p w14:paraId="041583D5" w14:textId="657EFB54" w:rsidR="00634172" w:rsidRPr="00B266B0" w:rsidRDefault="00634172" w:rsidP="00634172">
      <w:pPr>
        <w:ind w:left="1985" w:hanging="1985"/>
        <w:rPr>
          <w:rFonts w:ascii="Arial" w:hAnsi="Arial" w:cs="Arial"/>
          <w:b/>
          <w:bCs/>
          <w:sz w:val="24"/>
        </w:rPr>
      </w:pPr>
      <w:r>
        <w:rPr>
          <w:rFonts w:ascii="Arial" w:hAnsi="Arial" w:cs="Arial"/>
          <w:b/>
          <w:bCs/>
          <w:sz w:val="24"/>
        </w:rPr>
        <w:t>WID/SID:</w:t>
      </w:r>
      <w:r>
        <w:rPr>
          <w:rFonts w:ascii="Arial" w:hAnsi="Arial" w:cs="Arial"/>
          <w:b/>
          <w:bCs/>
          <w:sz w:val="24"/>
        </w:rPr>
        <w:tab/>
        <w:t>NR_QoE_enh-Core</w:t>
      </w:r>
      <w:r w:rsidRPr="00112F1A">
        <w:rPr>
          <w:rFonts w:ascii="Arial" w:hAnsi="Arial" w:cs="Arial"/>
          <w:b/>
          <w:bCs/>
          <w:sz w:val="24"/>
        </w:rPr>
        <w:t xml:space="preserve"> </w:t>
      </w:r>
      <w:r>
        <w:rPr>
          <w:rFonts w:ascii="Arial" w:hAnsi="Arial" w:cs="Arial"/>
          <w:b/>
          <w:bCs/>
          <w:sz w:val="24"/>
        </w:rPr>
        <w:t>- Release 18</w:t>
      </w:r>
    </w:p>
    <w:p w14:paraId="486F3BD9" w14:textId="77777777" w:rsidR="00634172" w:rsidRPr="00B266B0" w:rsidRDefault="00634172" w:rsidP="0063417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5057EDC9" w14:textId="2F1495C4" w:rsidR="00B35A97" w:rsidRDefault="007677A8" w:rsidP="0057648B">
      <w:pPr>
        <w:overflowPunct w:val="0"/>
        <w:autoSpaceDE w:val="0"/>
        <w:autoSpaceDN w:val="0"/>
        <w:adjustRightInd w:val="0"/>
        <w:textAlignment w:val="baseline"/>
        <w:rPr>
          <w:lang w:eastAsia="zh-CN"/>
        </w:rPr>
      </w:pPr>
      <w:r>
        <w:rPr>
          <w:lang w:eastAsia="zh-CN"/>
        </w:rPr>
        <w:t xml:space="preserve">Rel-18 QMC will support QoE configuration and reporting in NR-DC, according to the </w:t>
      </w:r>
      <w:r w:rsidR="00B35A97">
        <w:rPr>
          <w:lang w:eastAsia="zh-CN"/>
        </w:rPr>
        <w:t>agreed Rel-18 QoE WI (</w:t>
      </w:r>
      <w:hyperlink r:id="rId12" w:history="1">
        <w:r w:rsidR="00B35A97">
          <w:rPr>
            <w:rStyle w:val="Hyperlink"/>
            <w:lang w:eastAsia="zh-CN"/>
          </w:rPr>
          <w:t>RP-213594</w:t>
        </w:r>
      </w:hyperlink>
      <w:r w:rsidR="00B35A97">
        <w:rPr>
          <w:lang w:eastAsia="zh-CN"/>
        </w:rPr>
        <w:t xml:space="preserve">) </w:t>
      </w:r>
      <w:r>
        <w:rPr>
          <w:lang w:eastAsia="zh-CN"/>
        </w:rPr>
        <w:t>objective:</w:t>
      </w:r>
    </w:p>
    <w:p w14:paraId="56BC6E8B" w14:textId="77777777" w:rsidR="007677A8" w:rsidRPr="007677A8" w:rsidRDefault="007677A8" w:rsidP="007677A8">
      <w:pPr>
        <w:numPr>
          <w:ilvl w:val="0"/>
          <w:numId w:val="10"/>
        </w:numPr>
        <w:overflowPunct w:val="0"/>
        <w:autoSpaceDE w:val="0"/>
        <w:autoSpaceDN w:val="0"/>
        <w:adjustRightInd w:val="0"/>
        <w:spacing w:after="0"/>
        <w:ind w:left="1200"/>
        <w:jc w:val="both"/>
        <w:textAlignment w:val="baseline"/>
        <w:rPr>
          <w:bCs/>
          <w:i/>
          <w:iCs/>
          <w:lang w:val="en-US" w:eastAsia="zh-CN"/>
        </w:rPr>
      </w:pPr>
      <w:r w:rsidRPr="007677A8">
        <w:rPr>
          <w:bCs/>
          <w:i/>
          <w:iCs/>
          <w:lang w:val="en-US" w:eastAsia="zh-CN"/>
        </w:rPr>
        <w:t>Specify to support for QoE in NR-DC</w:t>
      </w:r>
      <w:r w:rsidRPr="007677A8">
        <w:rPr>
          <w:rFonts w:hint="eastAsia"/>
          <w:bCs/>
          <w:i/>
          <w:iCs/>
          <w:lang w:val="en-US" w:eastAsia="zh-CN"/>
        </w:rPr>
        <w:t>, e.g. enable QoE reporting via SN</w:t>
      </w:r>
      <w:r w:rsidRPr="007677A8">
        <w:rPr>
          <w:bCs/>
          <w:i/>
          <w:iCs/>
        </w:rPr>
        <w:t>[RAN3, RAN2]</w:t>
      </w:r>
      <w:r w:rsidRPr="007677A8">
        <w:rPr>
          <w:bCs/>
          <w:i/>
          <w:iCs/>
          <w:lang w:val="en-US" w:eastAsia="zh-CN"/>
        </w:rPr>
        <w:t>.</w:t>
      </w:r>
    </w:p>
    <w:p w14:paraId="15E9A490" w14:textId="77777777" w:rsidR="007677A8" w:rsidRPr="007677A8" w:rsidRDefault="007677A8" w:rsidP="007677A8">
      <w:pPr>
        <w:numPr>
          <w:ilvl w:val="0"/>
          <w:numId w:val="9"/>
        </w:numPr>
        <w:overflowPunct w:val="0"/>
        <w:autoSpaceDE w:val="0"/>
        <w:autoSpaceDN w:val="0"/>
        <w:adjustRightInd w:val="0"/>
        <w:spacing w:after="0"/>
        <w:ind w:left="1500" w:hanging="360"/>
        <w:textAlignment w:val="baseline"/>
        <w:rPr>
          <w:bCs/>
          <w:i/>
          <w:iCs/>
          <w:lang w:eastAsia="zh-CN"/>
        </w:rPr>
      </w:pPr>
      <w:r w:rsidRPr="007677A8">
        <w:rPr>
          <w:i/>
          <w:iCs/>
        </w:rPr>
        <w:t>Specify the QoE configuration,</w:t>
      </w:r>
      <w:r w:rsidRPr="007677A8">
        <w:rPr>
          <w:rFonts w:hint="eastAsia"/>
          <w:i/>
          <w:iCs/>
          <w:lang w:val="en-US" w:eastAsia="zh-CN"/>
        </w:rPr>
        <w:t xml:space="preserve"> and</w:t>
      </w:r>
      <w:r w:rsidRPr="007677A8">
        <w:rPr>
          <w:i/>
          <w:iCs/>
        </w:rPr>
        <w:t xml:space="preserve"> measurement reporting over MN/SN for NR-DC architecture, and specify the QoE measurement reporting over the other DC leg </w:t>
      </w:r>
      <w:r w:rsidRPr="007677A8">
        <w:rPr>
          <w:rFonts w:hint="eastAsia"/>
          <w:i/>
          <w:iCs/>
          <w:lang w:val="en-US" w:eastAsia="zh-CN"/>
        </w:rPr>
        <w:t>in order to maintain the reporting continuity</w:t>
      </w:r>
      <w:r w:rsidRPr="007677A8">
        <w:rPr>
          <w:i/>
          <w:iCs/>
        </w:rPr>
        <w:t>.</w:t>
      </w:r>
    </w:p>
    <w:p w14:paraId="3F5AE887" w14:textId="77777777" w:rsidR="007677A8" w:rsidRPr="007677A8" w:rsidRDefault="007677A8" w:rsidP="007677A8">
      <w:pPr>
        <w:ind w:left="1500"/>
        <w:rPr>
          <w:bCs/>
          <w:i/>
          <w:iCs/>
          <w:lang w:eastAsia="zh-CN"/>
        </w:rPr>
      </w:pPr>
      <w:r w:rsidRPr="007677A8">
        <w:rPr>
          <w:bCs/>
          <w:i/>
          <w:iCs/>
          <w:lang w:eastAsia="zh-CN"/>
        </w:rPr>
        <w:t>Note 1: The QoE measurements are not perform</w:t>
      </w:r>
      <w:r w:rsidRPr="007677A8">
        <w:rPr>
          <w:rFonts w:hint="eastAsia"/>
          <w:bCs/>
          <w:i/>
          <w:iCs/>
          <w:lang w:val="en-US" w:eastAsia="zh-CN"/>
        </w:rPr>
        <w:t>ed separately</w:t>
      </w:r>
      <w:r w:rsidRPr="007677A8">
        <w:rPr>
          <w:bCs/>
          <w:i/>
          <w:iCs/>
          <w:lang w:eastAsia="zh-CN"/>
        </w:rPr>
        <w:t xml:space="preserve"> for </w:t>
      </w:r>
      <w:r w:rsidRPr="007677A8">
        <w:rPr>
          <w:rFonts w:hint="eastAsia"/>
          <w:bCs/>
          <w:i/>
          <w:iCs/>
          <w:lang w:val="en-US" w:eastAsia="zh-CN"/>
        </w:rPr>
        <w:t xml:space="preserve">each </w:t>
      </w:r>
      <w:r w:rsidRPr="007677A8">
        <w:rPr>
          <w:bCs/>
          <w:i/>
          <w:iCs/>
          <w:lang w:eastAsia="zh-CN"/>
        </w:rPr>
        <w:t>leg.</w:t>
      </w:r>
    </w:p>
    <w:p w14:paraId="1D975012" w14:textId="77777777" w:rsidR="007677A8" w:rsidRPr="007677A8" w:rsidRDefault="007677A8" w:rsidP="007677A8">
      <w:pPr>
        <w:numPr>
          <w:ilvl w:val="0"/>
          <w:numId w:val="9"/>
        </w:numPr>
        <w:overflowPunct w:val="0"/>
        <w:autoSpaceDE w:val="0"/>
        <w:autoSpaceDN w:val="0"/>
        <w:adjustRightInd w:val="0"/>
        <w:spacing w:after="0"/>
        <w:ind w:left="1500" w:hanging="360"/>
        <w:textAlignment w:val="baseline"/>
        <w:rPr>
          <w:bCs/>
          <w:i/>
          <w:iCs/>
          <w:lang w:eastAsia="zh-CN"/>
        </w:rPr>
      </w:pPr>
      <w:r w:rsidRPr="007677A8">
        <w:rPr>
          <w:bCs/>
          <w:i/>
          <w:iCs/>
          <w:lang w:eastAsia="zh-CN"/>
        </w:rPr>
        <w:t xml:space="preserve">Support RAN-visible </w:t>
      </w:r>
      <w:r w:rsidRPr="007677A8">
        <w:rPr>
          <w:rFonts w:hint="eastAsia"/>
          <w:bCs/>
          <w:i/>
          <w:iCs/>
          <w:lang w:val="en-US" w:eastAsia="zh-CN"/>
        </w:rPr>
        <w:t xml:space="preserve">QoE </w:t>
      </w:r>
      <w:r w:rsidRPr="007677A8">
        <w:rPr>
          <w:bCs/>
          <w:i/>
          <w:iCs/>
          <w:lang w:eastAsia="zh-CN"/>
        </w:rPr>
        <w:t>and radio related measurement configuration and reporting in NR-DC scenarios.</w:t>
      </w:r>
    </w:p>
    <w:p w14:paraId="50E791E3" w14:textId="77777777" w:rsidR="007677A8" w:rsidRPr="007677A8" w:rsidRDefault="007677A8" w:rsidP="007677A8">
      <w:pPr>
        <w:numPr>
          <w:ilvl w:val="0"/>
          <w:numId w:val="9"/>
        </w:numPr>
        <w:overflowPunct w:val="0"/>
        <w:autoSpaceDE w:val="0"/>
        <w:autoSpaceDN w:val="0"/>
        <w:adjustRightInd w:val="0"/>
        <w:spacing w:after="0"/>
        <w:ind w:left="1500" w:hanging="360"/>
        <w:textAlignment w:val="baseline"/>
        <w:rPr>
          <w:bCs/>
          <w:i/>
          <w:iCs/>
          <w:lang w:eastAsia="zh-CN"/>
        </w:rPr>
      </w:pPr>
      <w:r w:rsidRPr="007677A8">
        <w:rPr>
          <w:i/>
          <w:iCs/>
        </w:rPr>
        <w:t>Specify the QoE measurement continuity in mobility scenarios in NR-DC</w:t>
      </w:r>
      <w:r w:rsidRPr="007677A8">
        <w:rPr>
          <w:bCs/>
          <w:i/>
          <w:iCs/>
          <w:lang w:eastAsia="zh-CN"/>
        </w:rPr>
        <w:t>.</w:t>
      </w:r>
    </w:p>
    <w:p w14:paraId="5ED49904" w14:textId="77777777" w:rsidR="007677A8" w:rsidRPr="007677A8" w:rsidRDefault="007677A8" w:rsidP="007677A8">
      <w:pPr>
        <w:numPr>
          <w:ilvl w:val="0"/>
          <w:numId w:val="9"/>
        </w:numPr>
        <w:overflowPunct w:val="0"/>
        <w:autoSpaceDE w:val="0"/>
        <w:autoSpaceDN w:val="0"/>
        <w:adjustRightInd w:val="0"/>
        <w:spacing w:after="0"/>
        <w:ind w:left="1500" w:hanging="360"/>
        <w:textAlignment w:val="baseline"/>
        <w:rPr>
          <w:bCs/>
          <w:i/>
          <w:iCs/>
          <w:lang w:eastAsia="zh-CN"/>
        </w:rPr>
      </w:pPr>
      <w:r w:rsidRPr="007677A8">
        <w:rPr>
          <w:i/>
          <w:iCs/>
        </w:rPr>
        <w:t>Specify the alignment of QoE</w:t>
      </w:r>
      <w:r w:rsidRPr="007677A8">
        <w:rPr>
          <w:rFonts w:hint="eastAsia"/>
          <w:i/>
          <w:iCs/>
          <w:lang w:val="en-US" w:eastAsia="zh-CN"/>
        </w:rPr>
        <w:t xml:space="preserve"> measurements (including legacy QoE and  RAN vsible  QoE measurements)</w:t>
      </w:r>
      <w:r w:rsidRPr="007677A8">
        <w:rPr>
          <w:i/>
          <w:iCs/>
        </w:rPr>
        <w:t xml:space="preserve"> and radio related measurement in NR-DC</w:t>
      </w:r>
      <w:r w:rsidRPr="007677A8">
        <w:rPr>
          <w:bCs/>
          <w:i/>
          <w:iCs/>
          <w:lang w:eastAsia="zh-CN"/>
        </w:rPr>
        <w:t>.</w:t>
      </w:r>
    </w:p>
    <w:p w14:paraId="15DF33FE" w14:textId="77777777" w:rsidR="007677A8" w:rsidRDefault="007677A8" w:rsidP="00B35A97">
      <w:pPr>
        <w:rPr>
          <w:lang w:eastAsia="zh-CN"/>
        </w:rPr>
      </w:pPr>
    </w:p>
    <w:p w14:paraId="4BBEA80E" w14:textId="4F9B9A39" w:rsidR="0057648B" w:rsidRPr="00473F07" w:rsidRDefault="0057648B" w:rsidP="00B35A97">
      <w:pPr>
        <w:rPr>
          <w:lang w:eastAsia="zh-CN"/>
        </w:rPr>
      </w:pPr>
      <w:r>
        <w:rPr>
          <w:lang w:eastAsia="zh-CN"/>
        </w:rPr>
        <w:t xml:space="preserve">In this </w:t>
      </w:r>
      <w:r w:rsidRPr="00B35A97">
        <w:rPr>
          <w:lang w:eastAsia="zh-CN"/>
        </w:rPr>
        <w:t xml:space="preserve">contribution we elaborate </w:t>
      </w:r>
      <w:r w:rsidR="007677A8">
        <w:rPr>
          <w:lang w:eastAsia="zh-CN"/>
        </w:rPr>
        <w:t xml:space="preserve">on </w:t>
      </w:r>
      <w:r w:rsidR="007677A8">
        <w:t>basic principles and generic assumptions for</w:t>
      </w:r>
      <w:r w:rsidR="00B35A97" w:rsidRPr="00B35A97">
        <w:t xml:space="preserve"> QoE </w:t>
      </w:r>
      <w:r w:rsidR="00580252">
        <w:t>handling in</w:t>
      </w:r>
      <w:r w:rsidR="00B35A97" w:rsidRPr="00B35A97">
        <w:t xml:space="preserve"> </w:t>
      </w:r>
      <w:r w:rsidR="007677A8">
        <w:t>DC deployments, taking Rel-17 baseline defined for Standalone NR, and initial agreements on DC support, taken by RAN3#117-e.</w:t>
      </w:r>
    </w:p>
    <w:p w14:paraId="18B3CE4C" w14:textId="77777777" w:rsidR="007677A8" w:rsidRDefault="00B61EF1" w:rsidP="007677A8">
      <w:pPr>
        <w:pStyle w:val="Heading1"/>
      </w:pPr>
      <w:r w:rsidRPr="006E13D1">
        <w:t>2</w:t>
      </w:r>
      <w:r w:rsidRPr="006E13D1">
        <w:tab/>
      </w:r>
      <w:r>
        <w:t>Discussion</w:t>
      </w:r>
    </w:p>
    <w:p w14:paraId="39C3344C" w14:textId="02F3E720" w:rsidR="00B61EF1" w:rsidRDefault="00B61EF1" w:rsidP="007677A8">
      <w:pPr>
        <w:pStyle w:val="Heading2"/>
      </w:pPr>
      <w:r>
        <w:rPr>
          <w:lang w:eastAsia="zh-CN"/>
        </w:rPr>
        <w:t>2.1</w:t>
      </w:r>
      <w:r>
        <w:rPr>
          <w:lang w:eastAsia="zh-CN"/>
        </w:rPr>
        <w:tab/>
        <w:t xml:space="preserve">QoE measurement </w:t>
      </w:r>
      <w:r w:rsidR="007677A8">
        <w:rPr>
          <w:lang w:eastAsia="zh-CN"/>
        </w:rPr>
        <w:t>configuration</w:t>
      </w:r>
    </w:p>
    <w:p w14:paraId="65DC53D5" w14:textId="346C8D5A" w:rsidR="00FA349C" w:rsidRDefault="00CE2397" w:rsidP="001753B2">
      <w:pPr>
        <w:jc w:val="both"/>
      </w:pPr>
      <w:r>
        <w:t xml:space="preserve">For </w:t>
      </w:r>
      <w:r w:rsidR="003E4268">
        <w:t>DC</w:t>
      </w:r>
      <w:r>
        <w:t xml:space="preserve"> support, </w:t>
      </w:r>
      <w:r w:rsidRPr="00CE2397">
        <w:rPr>
          <w:b/>
          <w:bCs/>
        </w:rPr>
        <w:t>RAN3#117-e</w:t>
      </w:r>
      <w:r>
        <w:t xml:space="preserve"> </w:t>
      </w:r>
      <w:r w:rsidR="00826669">
        <w:t xml:space="preserve">has </w:t>
      </w:r>
      <w:r>
        <w:t>discussed potential extensions required for QoE measurement collection framework and agreed</w:t>
      </w:r>
      <w:r w:rsidR="00416B8B">
        <w:t xml:space="preserve"> for</w:t>
      </w:r>
      <w:r>
        <w:t xml:space="preserve"> </w:t>
      </w:r>
      <w:r w:rsidR="00416B8B">
        <w:t>Rel-18 the following</w:t>
      </w:r>
      <w:r w:rsidR="00FA349C">
        <w:t>:</w:t>
      </w:r>
    </w:p>
    <w:p w14:paraId="65086612" w14:textId="0819839C" w:rsidR="00CE2397" w:rsidRDefault="00CE2397" w:rsidP="00FA349C">
      <w:pPr>
        <w:pBdr>
          <w:top w:val="single" w:sz="4" w:space="1" w:color="auto"/>
          <w:left w:val="single" w:sz="4" w:space="0" w:color="auto"/>
          <w:bottom w:val="single" w:sz="4" w:space="1" w:color="auto"/>
          <w:right w:val="single" w:sz="4" w:space="4" w:color="auto"/>
        </w:pBdr>
        <w:contextualSpacing/>
        <w:rPr>
          <w:rFonts w:ascii="Calibri" w:hAnsi="Calibri" w:cs="Calibri"/>
          <w:b/>
          <w:bCs/>
          <w:color w:val="008000"/>
          <w:sz w:val="18"/>
        </w:rPr>
      </w:pPr>
      <w:r w:rsidRPr="002C0814">
        <w:rPr>
          <w:rFonts w:ascii="Calibri" w:hAnsi="Calibri" w:cs="Calibri" w:hint="eastAsia"/>
          <w:b/>
          <w:bCs/>
          <w:color w:val="008000"/>
          <w:sz w:val="18"/>
        </w:rPr>
        <w:t xml:space="preserve">MN is </w:t>
      </w:r>
      <w:r w:rsidRPr="002C0814">
        <w:rPr>
          <w:rFonts w:ascii="Calibri" w:hAnsi="Calibri" w:cs="Calibri"/>
          <w:b/>
          <w:bCs/>
          <w:color w:val="008000"/>
          <w:sz w:val="18"/>
        </w:rPr>
        <w:t>responsible</w:t>
      </w:r>
      <w:r w:rsidRPr="002C0814">
        <w:rPr>
          <w:rFonts w:ascii="Calibri" w:hAnsi="Calibri" w:cs="Calibri" w:hint="eastAsia"/>
          <w:b/>
          <w:bCs/>
          <w:color w:val="008000"/>
          <w:sz w:val="18"/>
        </w:rPr>
        <w:t xml:space="preserve"> to configure the s-based QoE to UE</w:t>
      </w:r>
      <w:r w:rsidRPr="002C0814">
        <w:rPr>
          <w:rFonts w:ascii="Calibri" w:hAnsi="Calibri" w:cs="Calibri"/>
          <w:b/>
          <w:bCs/>
          <w:color w:val="008000"/>
          <w:sz w:val="18"/>
        </w:rPr>
        <w:t>.</w:t>
      </w:r>
    </w:p>
    <w:p w14:paraId="2A23039C" w14:textId="06CBB96A" w:rsidR="00FA349C" w:rsidRPr="002C0814" w:rsidRDefault="00FA349C" w:rsidP="00FA349C">
      <w:pPr>
        <w:pBdr>
          <w:top w:val="single" w:sz="4" w:space="1" w:color="auto"/>
          <w:left w:val="single" w:sz="4" w:space="0" w:color="auto"/>
          <w:bottom w:val="single" w:sz="4" w:space="1" w:color="auto"/>
          <w:right w:val="single" w:sz="4" w:space="4" w:color="auto"/>
        </w:pBdr>
        <w:contextualSpacing/>
        <w:rPr>
          <w:rFonts w:ascii="Calibri" w:hAnsi="Calibri" w:cs="Calibri"/>
          <w:b/>
          <w:bCs/>
          <w:color w:val="0000FF"/>
          <w:sz w:val="18"/>
        </w:rPr>
      </w:pPr>
      <w:r>
        <w:rPr>
          <w:rFonts w:ascii="Calibri" w:hAnsi="Calibri" w:cs="Calibri"/>
          <w:b/>
          <w:color w:val="008000"/>
          <w:sz w:val="18"/>
        </w:rPr>
        <w:t>F</w:t>
      </w:r>
      <w:r w:rsidRPr="00192E50">
        <w:rPr>
          <w:rFonts w:ascii="Calibri" w:hAnsi="Calibri" w:cs="Calibri"/>
          <w:b/>
          <w:color w:val="008000"/>
          <w:sz w:val="18"/>
        </w:rPr>
        <w:t xml:space="preserve">or M-based QoE configuration in NR-DC, coordination between MN and SN is needed. </w:t>
      </w:r>
      <w:r w:rsidRPr="00192E50">
        <w:rPr>
          <w:rFonts w:ascii="Calibri" w:hAnsi="Calibri" w:cs="Calibri"/>
          <w:color w:val="0000FF"/>
          <w:sz w:val="18"/>
        </w:rPr>
        <w:t>Details are FFS.</w:t>
      </w:r>
    </w:p>
    <w:p w14:paraId="67AF3B86" w14:textId="77777777" w:rsidR="00416B8B" w:rsidRDefault="00416B8B" w:rsidP="00CE2397">
      <w:pPr>
        <w:jc w:val="both"/>
      </w:pPr>
    </w:p>
    <w:p w14:paraId="223AAF76" w14:textId="36FB423F" w:rsidR="00FA349C" w:rsidRDefault="00FA349C" w:rsidP="00CE2397">
      <w:pPr>
        <w:jc w:val="both"/>
      </w:pPr>
      <w:r>
        <w:t xml:space="preserve">While for Management-based QoE it is explicitly stated that coordination between the </w:t>
      </w:r>
      <w:r w:rsidR="00416B8B">
        <w:t xml:space="preserve">MN and SN is foreseen, also </w:t>
      </w:r>
      <w:r w:rsidR="009E765B">
        <w:t>for Signalling based QoE there</w:t>
      </w:r>
      <w:r>
        <w:t xml:space="preserve"> need to</w:t>
      </w:r>
      <w:r w:rsidR="009E765B">
        <w:t xml:space="preserve"> be some coordination performed in the Core Network, that would </w:t>
      </w:r>
      <w:r w:rsidR="006134A2">
        <w:t>enable only M</w:t>
      </w:r>
      <w:r w:rsidR="009E765B">
        <w:t xml:space="preserve">N to configure the UE with QoE measurements. </w:t>
      </w:r>
    </w:p>
    <w:p w14:paraId="4F6D5A85" w14:textId="5877F19F" w:rsidR="00FA349C" w:rsidRDefault="00FA349C" w:rsidP="00FA349C">
      <w:pPr>
        <w:jc w:val="both"/>
      </w:pPr>
      <w:r>
        <w:rPr>
          <w:b/>
          <w:bCs/>
        </w:rPr>
        <w:t xml:space="preserve">Observation 1: </w:t>
      </w:r>
      <w:r>
        <w:t xml:space="preserve">For QoE </w:t>
      </w:r>
      <w:r w:rsidR="00416B8B">
        <w:t xml:space="preserve">measurement </w:t>
      </w:r>
      <w:r>
        <w:t>configuration</w:t>
      </w:r>
      <w:r w:rsidR="00416B8B">
        <w:t xml:space="preserve"> in DC</w:t>
      </w:r>
      <w:r w:rsidRPr="00BA1D4E">
        <w:t xml:space="preserve">, </w:t>
      </w:r>
      <w:r>
        <w:t>RAN3 inv</w:t>
      </w:r>
      <w:r w:rsidR="00416B8B">
        <w:t>estigate coordination between MN and SN</w:t>
      </w:r>
      <w:r>
        <w:t>.</w:t>
      </w:r>
    </w:p>
    <w:p w14:paraId="554FE3C5" w14:textId="41E32D83" w:rsidR="00C13762" w:rsidRDefault="00C13762" w:rsidP="00C13762">
      <w:r>
        <w:t xml:space="preserve">When it comes to detailed understanding of the framework developed by RAN3, we note the above discussed agreements concern the first WI objective – referring to the container based QoE configuration. This WI objective also assumes the </w:t>
      </w:r>
      <w:r w:rsidRPr="007677A8">
        <w:rPr>
          <w:bCs/>
          <w:i/>
          <w:iCs/>
          <w:lang w:eastAsia="zh-CN"/>
        </w:rPr>
        <w:t>QoE measurements are not perform</w:t>
      </w:r>
      <w:r w:rsidRPr="007677A8">
        <w:rPr>
          <w:rFonts w:hint="eastAsia"/>
          <w:bCs/>
          <w:i/>
          <w:iCs/>
          <w:lang w:val="en-US" w:eastAsia="zh-CN"/>
        </w:rPr>
        <w:t>ed separately</w:t>
      </w:r>
      <w:r w:rsidRPr="007677A8">
        <w:rPr>
          <w:bCs/>
          <w:i/>
          <w:iCs/>
          <w:lang w:eastAsia="zh-CN"/>
        </w:rPr>
        <w:t xml:space="preserve"> for </w:t>
      </w:r>
      <w:r w:rsidRPr="007677A8">
        <w:rPr>
          <w:rFonts w:hint="eastAsia"/>
          <w:bCs/>
          <w:i/>
          <w:iCs/>
          <w:lang w:val="en-US" w:eastAsia="zh-CN"/>
        </w:rPr>
        <w:t xml:space="preserve">each </w:t>
      </w:r>
      <w:r w:rsidRPr="007677A8">
        <w:rPr>
          <w:bCs/>
          <w:i/>
          <w:iCs/>
          <w:lang w:eastAsia="zh-CN"/>
        </w:rPr>
        <w:t>leg</w:t>
      </w:r>
      <w:r>
        <w:rPr>
          <w:bCs/>
          <w:i/>
          <w:iCs/>
          <w:lang w:eastAsia="zh-CN"/>
        </w:rPr>
        <w:t xml:space="preserve"> (Note 1). </w:t>
      </w:r>
      <w:r w:rsidRPr="004B5C43">
        <w:rPr>
          <w:bCs/>
          <w:lang w:eastAsia="zh-CN"/>
        </w:rPr>
        <w:t xml:space="preserve">Thus, </w:t>
      </w:r>
      <w:r>
        <w:rPr>
          <w:bCs/>
          <w:lang w:eastAsia="zh-CN"/>
        </w:rPr>
        <w:t>the most deemed and consistent solution would be to enable only MN triggered QoE configuration (at least) for container based QoE measurement collection</w:t>
      </w:r>
      <w:r w:rsidR="00DF6D41">
        <w:rPr>
          <w:bCs/>
          <w:lang w:eastAsia="zh-CN"/>
        </w:rPr>
        <w:t xml:space="preserve">. </w:t>
      </w:r>
    </w:p>
    <w:p w14:paraId="155291E7" w14:textId="1B1FD67C" w:rsidR="00FF2D69" w:rsidRDefault="00C13762" w:rsidP="00FA349C">
      <w:pPr>
        <w:contextualSpacing/>
      </w:pPr>
      <w:r>
        <w:lastRenderedPageBreak/>
        <w:t>Furthermore</w:t>
      </w:r>
      <w:r w:rsidR="00416B8B">
        <w:t xml:space="preserve">, RRC signalling enabling the support of QoE measurement configuration in the existing QoE measurement collection framework does not distinguish Signalling vs. Management based QoE configuration </w:t>
      </w:r>
      <w:r w:rsidR="003E39EF">
        <w:t xml:space="preserve">within RAN2 scope </w:t>
      </w:r>
      <w:r w:rsidR="00416B8B">
        <w:t xml:space="preserve">(see Figure 1). </w:t>
      </w:r>
    </w:p>
    <w:p w14:paraId="5ED153C9" w14:textId="23E97BF2" w:rsidR="006134A2" w:rsidRDefault="00FF2D69" w:rsidP="00FF2D69">
      <w:pPr>
        <w:jc w:val="both"/>
      </w:pPr>
      <w:r>
        <w:rPr>
          <w:b/>
          <w:bCs/>
        </w:rPr>
        <w:t xml:space="preserve">Observation 2: </w:t>
      </w:r>
      <w:r w:rsidRPr="00FF2D69">
        <w:t>RRC procedures do not differentiate</w:t>
      </w:r>
      <w:r>
        <w:rPr>
          <w:b/>
          <w:bCs/>
        </w:rPr>
        <w:t xml:space="preserve"> </w:t>
      </w:r>
      <w:r>
        <w:t>Signalling vs. Management based QoE configuration.</w:t>
      </w:r>
    </w:p>
    <w:p w14:paraId="55E40461" w14:textId="77777777" w:rsidR="00FF2D69" w:rsidRDefault="00FF2D69" w:rsidP="00FF2D69">
      <w:pPr>
        <w:jc w:val="center"/>
      </w:pPr>
      <w:r>
        <w:object w:dxaOrig="6076" w:dyaOrig="2447" w14:anchorId="03D32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5pt;height:122.25pt" o:ole="">
            <v:imagedata r:id="rId13" o:title=""/>
          </v:shape>
          <o:OLEObject Type="Embed" ProgID="Visio.Drawing.15" ShapeID="_x0000_i1025" DrawAspect="Content" ObjectID="_1726051118" r:id="rId14"/>
        </w:object>
      </w:r>
    </w:p>
    <w:p w14:paraId="2788D62E" w14:textId="542DB121" w:rsidR="00FF2D69" w:rsidRDefault="00FF2D69" w:rsidP="00FF2D69">
      <w:pPr>
        <w:jc w:val="center"/>
      </w:pPr>
      <w:r>
        <w:t xml:space="preserve">Figure 1. QoE Measurement </w:t>
      </w:r>
      <w:r w:rsidR="00E26941">
        <w:t xml:space="preserve">Collection </w:t>
      </w:r>
      <w:r>
        <w:t>framework over RRC.</w:t>
      </w:r>
    </w:p>
    <w:p w14:paraId="58C1E25E" w14:textId="77777777" w:rsidR="00C13762" w:rsidRDefault="00C13762" w:rsidP="00FA349C">
      <w:pPr>
        <w:contextualSpacing/>
      </w:pPr>
    </w:p>
    <w:p w14:paraId="116D1750" w14:textId="77777777" w:rsidR="00692838" w:rsidRDefault="00C13762" w:rsidP="000F5692">
      <w:pPr>
        <w:jc w:val="both"/>
      </w:pPr>
      <w:r>
        <w:t>These reasons lead to</w:t>
      </w:r>
      <w:r w:rsidR="00FF2D69">
        <w:t xml:space="preserve"> </w:t>
      </w:r>
      <w:r w:rsidR="006134A2">
        <w:t xml:space="preserve">the most straightforward approach </w:t>
      </w:r>
      <w:r w:rsidR="00FF2D69">
        <w:t xml:space="preserve">to </w:t>
      </w:r>
      <w:r w:rsidR="006134A2">
        <w:t>a</w:t>
      </w:r>
      <w:r w:rsidR="00FF2D69">
        <w:t>dapt Rel-17 QoE measurement configuration to enable its reuse by the MN in NR-DC</w:t>
      </w:r>
      <w:r>
        <w:t xml:space="preserve"> and define MN-enabled QoE configuration for</w:t>
      </w:r>
      <w:r w:rsidR="00DF6D41">
        <w:t xml:space="preserve"> container-based QMC in</w:t>
      </w:r>
      <w:r>
        <w:t xml:space="preserve"> NR-DC</w:t>
      </w:r>
      <w:r w:rsidR="006134A2">
        <w:t>. I</w:t>
      </w:r>
      <w:r w:rsidR="00826669">
        <w:t xml:space="preserve">.e., there is no need to consider </w:t>
      </w:r>
      <w:r w:rsidR="006134A2">
        <w:t xml:space="preserve">an independent or separate </w:t>
      </w:r>
      <w:r w:rsidR="00826669">
        <w:t xml:space="preserve">SN configuration unless RAN3 </w:t>
      </w:r>
      <w:r w:rsidR="006134A2">
        <w:t>finds</w:t>
      </w:r>
      <w:r w:rsidR="00826669">
        <w:t xml:space="preserve"> the coordination is not possible</w:t>
      </w:r>
      <w:r w:rsidR="000F5692">
        <w:t xml:space="preserve">. </w:t>
      </w:r>
    </w:p>
    <w:p w14:paraId="21241295" w14:textId="77777777" w:rsidR="00692838" w:rsidRDefault="00692838" w:rsidP="00692838">
      <w:pPr>
        <w:contextualSpacing/>
      </w:pPr>
      <w:r>
        <w:t>There are two sub-types of QMC configuration:</w:t>
      </w:r>
    </w:p>
    <w:p w14:paraId="7FE9B2A5" w14:textId="77777777" w:rsidR="00692838" w:rsidRPr="004B5C43" w:rsidRDefault="00692838" w:rsidP="00692838">
      <w:pPr>
        <w:pStyle w:val="ListParagraph"/>
        <w:numPr>
          <w:ilvl w:val="0"/>
          <w:numId w:val="12"/>
        </w:numPr>
        <w:rPr>
          <w:rFonts w:ascii="Times New Roman" w:hAnsi="Times New Roman"/>
          <w:sz w:val="20"/>
          <w:szCs w:val="20"/>
        </w:rPr>
      </w:pPr>
      <w:r w:rsidRPr="004B5C43">
        <w:rPr>
          <w:rFonts w:ascii="Times New Roman" w:hAnsi="Times New Roman"/>
          <w:sz w:val="20"/>
          <w:szCs w:val="20"/>
        </w:rPr>
        <w:t>Container based</w:t>
      </w:r>
      <w:r>
        <w:rPr>
          <w:rFonts w:ascii="Times New Roman" w:hAnsi="Times New Roman"/>
          <w:sz w:val="20"/>
          <w:szCs w:val="20"/>
        </w:rPr>
        <w:t xml:space="preserve"> QoE,</w:t>
      </w:r>
    </w:p>
    <w:p w14:paraId="43775FF3" w14:textId="77777777" w:rsidR="00692838" w:rsidRPr="004B5C43" w:rsidRDefault="00692838" w:rsidP="00692838">
      <w:pPr>
        <w:pStyle w:val="ListParagraph"/>
        <w:numPr>
          <w:ilvl w:val="0"/>
          <w:numId w:val="12"/>
        </w:numPr>
        <w:rPr>
          <w:rFonts w:ascii="Times New Roman" w:hAnsi="Times New Roman"/>
          <w:sz w:val="20"/>
          <w:szCs w:val="20"/>
        </w:rPr>
      </w:pPr>
      <w:r w:rsidRPr="004B5C43">
        <w:rPr>
          <w:rFonts w:ascii="Times New Roman" w:hAnsi="Times New Roman"/>
          <w:sz w:val="20"/>
          <w:szCs w:val="20"/>
        </w:rPr>
        <w:t>RAN Visible QoE.</w:t>
      </w:r>
    </w:p>
    <w:p w14:paraId="55A8B86E" w14:textId="77777777" w:rsidR="00692838" w:rsidRDefault="00692838" w:rsidP="00692838">
      <w:pPr>
        <w:jc w:val="both"/>
      </w:pPr>
      <w:r>
        <w:t xml:space="preserve">In that context, WI objectives and </w:t>
      </w:r>
      <w:r w:rsidRPr="00C13762">
        <w:t>RAN3</w:t>
      </w:r>
      <w:r>
        <w:t xml:space="preserve"> work</w:t>
      </w:r>
      <w:r w:rsidRPr="00C13762">
        <w:t xml:space="preserve"> consider</w:t>
      </w:r>
      <w:r>
        <w:t xml:space="preserve"> potentially</w:t>
      </w:r>
      <w:r w:rsidRPr="00C13762">
        <w:t xml:space="preserve"> different approaches for the two configurations</w:t>
      </w:r>
      <w:r>
        <w:t>. In</w:t>
      </w:r>
      <w:r w:rsidRPr="00962B3F">
        <w:t xml:space="preserve"> NR-DC, SRB3 can be used for </w:t>
      </w:r>
      <w:r>
        <w:t xml:space="preserve">radio </w:t>
      </w:r>
      <w:r w:rsidRPr="00962B3F">
        <w:t>measurement configuration and reporting</w:t>
      </w:r>
      <w:r>
        <w:t>. Thus, the alternate approach could be to consider independent configuration from SN node, for RAN-visible QoE. This is however, pending RAN3 decision:</w:t>
      </w:r>
    </w:p>
    <w:p w14:paraId="44B834EB" w14:textId="77777777" w:rsidR="00692838" w:rsidRDefault="00692838" w:rsidP="00692838">
      <w:pPr>
        <w:jc w:val="both"/>
      </w:pPr>
      <w:r>
        <w:rPr>
          <w:b/>
          <w:bCs/>
        </w:rPr>
        <w:t xml:space="preserve">Observation 3: </w:t>
      </w:r>
      <w:r>
        <w:t>SN-generated configuration for RAN-visible QoE is pending RAN3 discussions.</w:t>
      </w:r>
    </w:p>
    <w:p w14:paraId="69D2F6DB" w14:textId="77777777" w:rsidR="00692838" w:rsidRDefault="00692838" w:rsidP="00692838">
      <w:pPr>
        <w:jc w:val="both"/>
      </w:pPr>
      <w:r>
        <w:t>Depending on the discussion outcome, it might be realised by the QoE configuration generated by SN, but still transmitted by MN. This would mitigate RRC impacts. And in that case, RAN2 would rely on NW-coordination without a need to adopt  QoE configuration specific for RAN visible QoE:</w:t>
      </w:r>
    </w:p>
    <w:p w14:paraId="5D552771" w14:textId="77777777" w:rsidR="00692838" w:rsidRDefault="00692838" w:rsidP="00692838">
      <w:pPr>
        <w:jc w:val="both"/>
      </w:pPr>
      <w:r>
        <w:rPr>
          <w:b/>
          <w:bCs/>
        </w:rPr>
        <w:t>Observation 4</w:t>
      </w:r>
      <w:r w:rsidRPr="00CE642C">
        <w:rPr>
          <w:b/>
          <w:bCs/>
        </w:rPr>
        <w:t xml:space="preserve">: </w:t>
      </w:r>
      <w:r>
        <w:t xml:space="preserve"> RAN visible QoE configuration generated by SN can</w:t>
      </w:r>
      <w:r w:rsidRPr="0061623A">
        <w:t xml:space="preserve"> be </w:t>
      </w:r>
      <w:r>
        <w:t>transferred to MN.</w:t>
      </w:r>
    </w:p>
    <w:p w14:paraId="474B41FB" w14:textId="2FE57959" w:rsidR="000F5692" w:rsidRDefault="000F5692" w:rsidP="000F5692">
      <w:pPr>
        <w:jc w:val="both"/>
      </w:pPr>
      <w:r>
        <w:t>Hence, the fundamental principle we propose is the following:</w:t>
      </w:r>
    </w:p>
    <w:p w14:paraId="72D2D216" w14:textId="177322DF" w:rsidR="00E319B8" w:rsidRDefault="000F5692" w:rsidP="000F5692">
      <w:r w:rsidRPr="004B5C43">
        <w:rPr>
          <w:b/>
          <w:bCs/>
        </w:rPr>
        <w:t>Proposal 1:</w:t>
      </w:r>
      <w:r>
        <w:t xml:space="preserve"> </w:t>
      </w:r>
      <w:r w:rsidR="00CC423F">
        <w:t>RRC Reconfiguration with MeasConfigAppLayer serves the purpose t</w:t>
      </w:r>
      <w:r>
        <w:t>o configure QoE measurement collection in NR-DC</w:t>
      </w:r>
      <w:r w:rsidR="00CC423F">
        <w:t>.</w:t>
      </w:r>
      <w:r>
        <w:t xml:space="preserve"> </w:t>
      </w:r>
    </w:p>
    <w:p w14:paraId="4C6F89E4" w14:textId="0987E22E" w:rsidR="000F5692" w:rsidRDefault="00E319B8" w:rsidP="000F5692">
      <w:r w:rsidRPr="005857F7">
        <w:rPr>
          <w:b/>
          <w:bCs/>
        </w:rPr>
        <w:t>Proposal 2:</w:t>
      </w:r>
      <w:r>
        <w:t xml:space="preserve"> </w:t>
      </w:r>
      <w:r w:rsidR="00C65EC8">
        <w:t xml:space="preserve"> </w:t>
      </w:r>
      <w:r w:rsidR="000F5692">
        <w:t>Only MN sends the QoE configuration to the UE</w:t>
      </w:r>
      <w:r w:rsidR="00692838">
        <w:t xml:space="preserve"> for both: container</w:t>
      </w:r>
      <w:r w:rsidR="006D5BCA">
        <w:t xml:space="preserve">-based QoE and </w:t>
      </w:r>
      <w:r w:rsidR="00692838">
        <w:t>RAN-visible QoE</w:t>
      </w:r>
      <w:r w:rsidR="006D5BCA">
        <w:t>.</w:t>
      </w:r>
    </w:p>
    <w:p w14:paraId="78EB4DA7" w14:textId="58C2CA47" w:rsidR="007677A8" w:rsidRDefault="007677A8" w:rsidP="007677A8">
      <w:pPr>
        <w:pStyle w:val="Heading2"/>
      </w:pPr>
      <w:r>
        <w:rPr>
          <w:lang w:eastAsia="zh-CN"/>
        </w:rPr>
        <w:t>2.2</w:t>
      </w:r>
      <w:r>
        <w:rPr>
          <w:lang w:eastAsia="zh-CN"/>
        </w:rPr>
        <w:tab/>
        <w:t xml:space="preserve">QoE measurement reporting </w:t>
      </w:r>
    </w:p>
    <w:p w14:paraId="39DE1DE8" w14:textId="77777777" w:rsidR="00141063" w:rsidRDefault="00515A3E" w:rsidP="00141063">
      <w:pPr>
        <w:overflowPunct w:val="0"/>
        <w:autoSpaceDE w:val="0"/>
        <w:autoSpaceDN w:val="0"/>
        <w:adjustRightInd w:val="0"/>
        <w:spacing w:after="0"/>
        <w:textAlignment w:val="baseline"/>
      </w:pPr>
      <w:r>
        <w:t>W</w:t>
      </w:r>
      <w:r w:rsidR="00FC25B7">
        <w:t xml:space="preserve">hen it comes to </w:t>
      </w:r>
      <w:r w:rsidR="00FC25B7" w:rsidRPr="00515A3E">
        <w:t>QoE reporting,</w:t>
      </w:r>
      <w:r w:rsidR="00FC25B7">
        <w:t xml:space="preserve"> it is </w:t>
      </w:r>
      <w:r>
        <w:t xml:space="preserve">in Rel-17 </w:t>
      </w:r>
      <w:r w:rsidR="00FC25B7">
        <w:t>supported over SRB4</w:t>
      </w:r>
      <w:r>
        <w:t xml:space="preserve"> for both types of the QoE reports (Figure 1). </w:t>
      </w:r>
      <w:r w:rsidR="00141063" w:rsidRPr="00B61EF1">
        <w:t xml:space="preserve">If SRB4 is not configured, the QoE Reports can’t be transferred to </w:t>
      </w:r>
      <w:r w:rsidR="00141063">
        <w:t xml:space="preserve">the </w:t>
      </w:r>
      <w:r w:rsidR="00141063" w:rsidRPr="00B61EF1">
        <w:t>Network</w:t>
      </w:r>
      <w:r w:rsidR="00141063">
        <w:t xml:space="preserve">. </w:t>
      </w:r>
    </w:p>
    <w:p w14:paraId="4645B791" w14:textId="703183CE" w:rsidR="007B129B" w:rsidRDefault="00141063" w:rsidP="00141063">
      <w:pPr>
        <w:jc w:val="both"/>
      </w:pPr>
      <w:r>
        <w:t>DC enables to overcome this shortcoming and facilitate the reporting continuity</w:t>
      </w:r>
      <w:r w:rsidR="00F419A6">
        <w:t xml:space="preserve"> over the SN leg. </w:t>
      </w:r>
      <w:r>
        <w:t xml:space="preserve"> Following the RAN3 LS in </w:t>
      </w:r>
      <w:hyperlink r:id="rId15" w:history="1">
        <w:r w:rsidRPr="00F419A6">
          <w:rPr>
            <w:rStyle w:val="Hyperlink"/>
          </w:rPr>
          <w:t>R2-2209109</w:t>
        </w:r>
      </w:hyperlink>
      <w:r w:rsidR="00F419A6">
        <w:t>, it is agreed to</w:t>
      </w:r>
      <w:r>
        <w:t xml:space="preserve"> </w:t>
      </w:r>
      <w:r w:rsidR="00F419A6">
        <w:t xml:space="preserve">transmit </w:t>
      </w:r>
      <w:r w:rsidR="006D4365">
        <w:t>the QoE reports either to MN or SN</w:t>
      </w:r>
      <w:r w:rsidR="000F0734">
        <w:t>:</w:t>
      </w:r>
    </w:p>
    <w:p w14:paraId="69618927" w14:textId="01BD5EAF" w:rsidR="00141063" w:rsidRPr="00FA1048" w:rsidRDefault="007B129B" w:rsidP="00FA1048">
      <w:pPr>
        <w:pStyle w:val="ListParagraph"/>
        <w:pBdr>
          <w:top w:val="single" w:sz="4" w:space="1" w:color="auto"/>
          <w:left w:val="single" w:sz="4" w:space="4" w:color="auto"/>
          <w:bottom w:val="single" w:sz="4" w:space="1" w:color="auto"/>
          <w:right w:val="single" w:sz="4" w:space="4" w:color="auto"/>
        </w:pBdr>
        <w:jc w:val="both"/>
        <w:rPr>
          <w:sz w:val="18"/>
          <w:szCs w:val="18"/>
        </w:rPr>
      </w:pPr>
      <w:r w:rsidRPr="00FA1048">
        <w:rPr>
          <w:rFonts w:hint="eastAsia"/>
          <w:b/>
          <w:bCs/>
          <w:color w:val="1C981C"/>
          <w:sz w:val="18"/>
          <w:szCs w:val="18"/>
          <w:lang w:val="en-US"/>
        </w:rPr>
        <w:t>QoE reports can be transmitted to either MN or SN and the reporting leg (MCG or SCG) can be changed during the application session</w:t>
      </w:r>
      <w:r w:rsidRPr="00FA1048">
        <w:rPr>
          <w:b/>
          <w:bCs/>
          <w:color w:val="1C981C"/>
          <w:sz w:val="18"/>
          <w:szCs w:val="18"/>
          <w:lang w:val="en-US"/>
        </w:rPr>
        <w:t>.</w:t>
      </w:r>
      <w:r w:rsidR="006D4365" w:rsidRPr="00FA1048">
        <w:rPr>
          <w:sz w:val="18"/>
          <w:szCs w:val="18"/>
        </w:rPr>
        <w:t xml:space="preserve"> </w:t>
      </w:r>
    </w:p>
    <w:p w14:paraId="03E9501B" w14:textId="520BC57E" w:rsidR="00141063" w:rsidRDefault="00141063" w:rsidP="00141063">
      <w:pPr>
        <w:jc w:val="both"/>
      </w:pPr>
      <w:r>
        <w:rPr>
          <w:b/>
          <w:bCs/>
        </w:rPr>
        <w:t xml:space="preserve">Observation 4: </w:t>
      </w:r>
      <w:r>
        <w:t xml:space="preserve">For QoE measurement reporting in </w:t>
      </w:r>
      <w:r w:rsidR="00F419A6">
        <w:t>NR-</w:t>
      </w:r>
      <w:r>
        <w:t>DC</w:t>
      </w:r>
      <w:r w:rsidRPr="00BA1D4E">
        <w:t>,</w:t>
      </w:r>
      <w:r w:rsidR="00F419A6">
        <w:t xml:space="preserve"> RAN3 agreed QoE reports transmission to SN</w:t>
      </w:r>
      <w:r w:rsidR="005857F7">
        <w:t>:</w:t>
      </w:r>
    </w:p>
    <w:p w14:paraId="5CF604B8" w14:textId="77777777" w:rsidR="00141063" w:rsidRDefault="00141063" w:rsidP="00141063">
      <w:pPr>
        <w:overflowPunct w:val="0"/>
        <w:autoSpaceDE w:val="0"/>
        <w:autoSpaceDN w:val="0"/>
        <w:adjustRightInd w:val="0"/>
        <w:spacing w:after="0"/>
        <w:textAlignment w:val="baseline"/>
      </w:pPr>
    </w:p>
    <w:p w14:paraId="295D1894" w14:textId="08E4A402" w:rsidR="00826669" w:rsidRDefault="00E26941" w:rsidP="00826669">
      <w:pPr>
        <w:jc w:val="center"/>
      </w:pPr>
      <w:r>
        <w:object w:dxaOrig="6076" w:dyaOrig="3811" w14:anchorId="0B8F05F8">
          <v:shape id="_x0000_i1026" type="#_x0000_t75" style="width:303.75pt;height:190.5pt" o:ole="">
            <v:imagedata r:id="rId16" o:title=""/>
          </v:shape>
          <o:OLEObject Type="Embed" ProgID="Visio.Drawing.15" ShapeID="_x0000_i1026" DrawAspect="Content" ObjectID="_1726051119" r:id="rId17"/>
        </w:object>
      </w:r>
    </w:p>
    <w:p w14:paraId="622E075D" w14:textId="27D38C68" w:rsidR="00E26941" w:rsidRDefault="00E26941" w:rsidP="00E26941">
      <w:pPr>
        <w:jc w:val="center"/>
      </w:pPr>
      <w:r>
        <w:t>Figure 2. QoE Measurement Collection framework in NR-DC.</w:t>
      </w:r>
    </w:p>
    <w:p w14:paraId="7384B2B7" w14:textId="77777777" w:rsidR="00826669" w:rsidRDefault="00826669" w:rsidP="00826669">
      <w:pPr>
        <w:contextualSpacing/>
      </w:pPr>
    </w:p>
    <w:p w14:paraId="1792402B" w14:textId="77777777" w:rsidR="005857F7" w:rsidRDefault="005857F7" w:rsidP="00826669">
      <w:pPr>
        <w:jc w:val="both"/>
      </w:pPr>
      <w:r>
        <w:t xml:space="preserve">It is up to RAN2 to decide: how? </w:t>
      </w:r>
    </w:p>
    <w:p w14:paraId="4E4C6E84" w14:textId="3C0B463C" w:rsidR="00E26941" w:rsidRDefault="00826669" w:rsidP="00826669">
      <w:pPr>
        <w:jc w:val="both"/>
        <w:rPr>
          <w:lang w:val="en-US"/>
        </w:rPr>
      </w:pPr>
      <w:r>
        <w:t>In</w:t>
      </w:r>
      <w:r w:rsidRPr="00962B3F">
        <w:t xml:space="preserve"> NR-DC, SRB3 can be </w:t>
      </w:r>
      <w:r w:rsidR="00F419A6">
        <w:t xml:space="preserve">already </w:t>
      </w:r>
      <w:r w:rsidRPr="00962B3F">
        <w:t xml:space="preserve">used for </w:t>
      </w:r>
      <w:r>
        <w:t xml:space="preserve">radio </w:t>
      </w:r>
      <w:r w:rsidRPr="00962B3F">
        <w:t>measurement reporting</w:t>
      </w:r>
      <w:r>
        <w:t xml:space="preserve">. </w:t>
      </w:r>
      <w:r w:rsidR="006D4365">
        <w:rPr>
          <w:lang w:val="en-US"/>
        </w:rPr>
        <w:t xml:space="preserve">However, this is currently feasible only for </w:t>
      </w:r>
      <w:r w:rsidR="00E26941">
        <w:rPr>
          <w:lang w:val="en-US"/>
        </w:rPr>
        <w:t xml:space="preserve">transferring </w:t>
      </w:r>
      <w:r w:rsidR="006D4365">
        <w:rPr>
          <w:lang w:val="en-US"/>
        </w:rPr>
        <w:t>MeasurementReport (radio measurement results)</w:t>
      </w:r>
      <w:r w:rsidR="00E26941">
        <w:rPr>
          <w:lang w:val="en-US"/>
        </w:rPr>
        <w:t xml:space="preserve"> to the SN</w:t>
      </w:r>
      <w:r w:rsidR="006D4365">
        <w:rPr>
          <w:lang w:val="en-US"/>
        </w:rPr>
        <w:t xml:space="preserve">. </w:t>
      </w:r>
      <w:r w:rsidR="00E26941">
        <w:rPr>
          <w:lang w:val="en-US"/>
        </w:rPr>
        <w:t>F</w:t>
      </w:r>
      <w:r w:rsidR="006D4365">
        <w:rPr>
          <w:lang w:val="en-US"/>
        </w:rPr>
        <w:t xml:space="preserve">or QoE reporting in Standalone NR, </w:t>
      </w:r>
      <w:r w:rsidR="00E26941">
        <w:rPr>
          <w:lang w:val="en-US"/>
        </w:rPr>
        <w:t xml:space="preserve">the RRC message for </w:t>
      </w:r>
      <w:r w:rsidR="006D4365">
        <w:rPr>
          <w:lang w:val="en-US"/>
        </w:rPr>
        <w:t>QoE report</w:t>
      </w:r>
      <w:r w:rsidR="00E26941">
        <w:rPr>
          <w:lang w:val="en-US"/>
        </w:rPr>
        <w:t>ing (application layer measurement results)</w:t>
      </w:r>
      <w:r w:rsidR="006D4365">
        <w:rPr>
          <w:lang w:val="en-US"/>
        </w:rPr>
        <w:t xml:space="preserve"> </w:t>
      </w:r>
      <w:r w:rsidR="00E26941">
        <w:rPr>
          <w:lang w:val="en-US"/>
        </w:rPr>
        <w:t>is possible to be transmitted</w:t>
      </w:r>
      <w:r w:rsidR="006D4365">
        <w:rPr>
          <w:lang w:val="en-US"/>
        </w:rPr>
        <w:t xml:space="preserve"> with a lower priority than other SRBs</w:t>
      </w:r>
      <w:r w:rsidR="00E26941">
        <w:rPr>
          <w:lang w:val="en-US"/>
        </w:rPr>
        <w:t xml:space="preserve"> used for regular radio reporting (to MN). T</w:t>
      </w:r>
      <w:r w:rsidR="006D4365">
        <w:rPr>
          <w:lang w:val="en-US"/>
        </w:rPr>
        <w:t>h</w:t>
      </w:r>
      <w:r w:rsidR="00E26941">
        <w:rPr>
          <w:lang w:val="en-US"/>
        </w:rPr>
        <w:t>e required extensions, can consider at least two possible solutions for QoE report transfer to SN:</w:t>
      </w:r>
    </w:p>
    <w:p w14:paraId="72896964" w14:textId="77777777" w:rsidR="000F5692" w:rsidRPr="000F5692" w:rsidRDefault="00E26941" w:rsidP="00E26941">
      <w:pPr>
        <w:pStyle w:val="ListParagraph"/>
        <w:numPr>
          <w:ilvl w:val="0"/>
          <w:numId w:val="12"/>
        </w:numPr>
        <w:jc w:val="both"/>
        <w:rPr>
          <w:rFonts w:ascii="Times New Roman" w:hAnsi="Times New Roman"/>
          <w:sz w:val="20"/>
          <w:szCs w:val="20"/>
          <w:lang w:val="en-US"/>
        </w:rPr>
      </w:pPr>
      <w:r w:rsidRPr="000F5692">
        <w:rPr>
          <w:rFonts w:ascii="Times New Roman" w:hAnsi="Times New Roman"/>
          <w:sz w:val="20"/>
          <w:szCs w:val="20"/>
          <w:lang w:val="en-US"/>
        </w:rPr>
        <w:t xml:space="preserve">SRB3 </w:t>
      </w:r>
    </w:p>
    <w:p w14:paraId="401F0B9E" w14:textId="22E9635E" w:rsidR="00E26941" w:rsidRDefault="00E26941" w:rsidP="000F5692">
      <w:pPr>
        <w:pStyle w:val="ListParagraph"/>
        <w:numPr>
          <w:ilvl w:val="1"/>
          <w:numId w:val="12"/>
        </w:numPr>
        <w:jc w:val="both"/>
        <w:rPr>
          <w:rFonts w:ascii="Times New Roman" w:hAnsi="Times New Roman"/>
          <w:sz w:val="20"/>
          <w:szCs w:val="20"/>
          <w:lang w:val="en-US"/>
        </w:rPr>
      </w:pPr>
      <w:r w:rsidRPr="000F5692">
        <w:rPr>
          <w:rFonts w:ascii="Times New Roman" w:hAnsi="Times New Roman"/>
          <w:sz w:val="20"/>
          <w:szCs w:val="20"/>
          <w:lang w:val="en-US"/>
        </w:rPr>
        <w:t xml:space="preserve">for </w:t>
      </w:r>
      <w:r w:rsidR="000F0734">
        <w:rPr>
          <w:rFonts w:ascii="Times New Roman" w:hAnsi="Times New Roman"/>
          <w:sz w:val="20"/>
          <w:szCs w:val="20"/>
          <w:lang w:val="en-US"/>
        </w:rPr>
        <w:t xml:space="preserve">existing </w:t>
      </w:r>
      <w:r w:rsidRPr="000F5692">
        <w:rPr>
          <w:rFonts w:ascii="Times New Roman" w:hAnsi="Times New Roman"/>
          <w:sz w:val="20"/>
          <w:szCs w:val="20"/>
          <w:lang w:val="en-US"/>
        </w:rPr>
        <w:t xml:space="preserve">MeasReportAppLayer </w:t>
      </w:r>
      <w:r w:rsidR="000F0734">
        <w:rPr>
          <w:rFonts w:ascii="Times New Roman" w:hAnsi="Times New Roman"/>
          <w:sz w:val="20"/>
          <w:szCs w:val="20"/>
          <w:lang w:val="en-US"/>
        </w:rPr>
        <w:t xml:space="preserve">message </w:t>
      </w:r>
      <w:r w:rsidRPr="000F5692">
        <w:rPr>
          <w:rFonts w:ascii="Times New Roman" w:hAnsi="Times New Roman"/>
          <w:sz w:val="20"/>
          <w:szCs w:val="20"/>
          <w:lang w:val="en-US"/>
        </w:rPr>
        <w:t>or extended MeasurementReport with QoEReport</w:t>
      </w:r>
    </w:p>
    <w:p w14:paraId="4F104A2B" w14:textId="4769E1F5" w:rsidR="002F23E1" w:rsidRPr="000F5692" w:rsidRDefault="002F23E1" w:rsidP="002F23E1">
      <w:pPr>
        <w:pStyle w:val="ListParagraph"/>
        <w:numPr>
          <w:ilvl w:val="0"/>
          <w:numId w:val="12"/>
        </w:numPr>
        <w:jc w:val="both"/>
        <w:rPr>
          <w:rFonts w:ascii="Times New Roman" w:hAnsi="Times New Roman"/>
          <w:sz w:val="20"/>
          <w:szCs w:val="20"/>
          <w:lang w:val="en-US"/>
        </w:rPr>
      </w:pPr>
      <w:r w:rsidRPr="000F5692">
        <w:rPr>
          <w:rFonts w:ascii="Times New Roman" w:hAnsi="Times New Roman"/>
          <w:sz w:val="20"/>
          <w:szCs w:val="20"/>
          <w:lang w:val="en-US"/>
        </w:rPr>
        <w:t>SRB</w:t>
      </w:r>
      <w:r>
        <w:rPr>
          <w:rFonts w:ascii="Times New Roman" w:hAnsi="Times New Roman"/>
          <w:sz w:val="20"/>
          <w:szCs w:val="20"/>
          <w:lang w:val="en-US"/>
        </w:rPr>
        <w:t>4</w:t>
      </w:r>
      <w:r w:rsidRPr="000F5692">
        <w:rPr>
          <w:rFonts w:ascii="Times New Roman" w:hAnsi="Times New Roman"/>
          <w:sz w:val="20"/>
          <w:szCs w:val="20"/>
          <w:lang w:val="en-US"/>
        </w:rPr>
        <w:t xml:space="preserve"> </w:t>
      </w:r>
    </w:p>
    <w:p w14:paraId="47597CA9" w14:textId="71797B3B" w:rsidR="002F23E1" w:rsidRPr="008950A4" w:rsidRDefault="002F23E1" w:rsidP="008950A4">
      <w:pPr>
        <w:pStyle w:val="ListParagraph"/>
        <w:numPr>
          <w:ilvl w:val="1"/>
          <w:numId w:val="12"/>
        </w:numPr>
        <w:jc w:val="both"/>
        <w:rPr>
          <w:rFonts w:ascii="Times New Roman" w:hAnsi="Times New Roman"/>
          <w:sz w:val="20"/>
          <w:szCs w:val="20"/>
          <w:lang w:val="en-US"/>
        </w:rPr>
      </w:pPr>
      <w:r w:rsidRPr="000F5692">
        <w:rPr>
          <w:rFonts w:ascii="Times New Roman" w:hAnsi="Times New Roman"/>
          <w:sz w:val="20"/>
          <w:szCs w:val="20"/>
          <w:lang w:val="en-US"/>
        </w:rPr>
        <w:t xml:space="preserve">for </w:t>
      </w:r>
      <w:r>
        <w:rPr>
          <w:rFonts w:ascii="Times New Roman" w:hAnsi="Times New Roman"/>
          <w:sz w:val="20"/>
          <w:szCs w:val="20"/>
          <w:lang w:val="en-US"/>
        </w:rPr>
        <w:t xml:space="preserve">existing </w:t>
      </w:r>
      <w:r w:rsidRPr="000F5692">
        <w:rPr>
          <w:rFonts w:ascii="Times New Roman" w:hAnsi="Times New Roman"/>
          <w:sz w:val="20"/>
          <w:szCs w:val="20"/>
          <w:lang w:val="en-US"/>
        </w:rPr>
        <w:t xml:space="preserve">MeasReportAppLayer </w:t>
      </w:r>
      <w:r>
        <w:rPr>
          <w:rFonts w:ascii="Times New Roman" w:hAnsi="Times New Roman"/>
          <w:sz w:val="20"/>
          <w:szCs w:val="20"/>
          <w:lang w:val="en-US"/>
        </w:rPr>
        <w:t xml:space="preserve">message </w:t>
      </w:r>
    </w:p>
    <w:p w14:paraId="1DA6C155" w14:textId="20B5D72C" w:rsidR="000F5692" w:rsidRPr="000F5692" w:rsidRDefault="000F0734" w:rsidP="008950A4">
      <w:pPr>
        <w:pStyle w:val="ListParagraph"/>
        <w:numPr>
          <w:ilvl w:val="0"/>
          <w:numId w:val="12"/>
        </w:numPr>
        <w:spacing w:before="240" w:after="120"/>
        <w:ind w:left="714" w:hanging="357"/>
        <w:jc w:val="both"/>
        <w:rPr>
          <w:rFonts w:ascii="Times New Roman" w:hAnsi="Times New Roman"/>
          <w:sz w:val="20"/>
          <w:szCs w:val="20"/>
          <w:lang w:val="en-US"/>
        </w:rPr>
      </w:pPr>
      <w:r>
        <w:rPr>
          <w:rFonts w:ascii="Times New Roman" w:hAnsi="Times New Roman"/>
          <w:sz w:val="20"/>
          <w:szCs w:val="20"/>
          <w:lang w:val="en-US"/>
        </w:rPr>
        <w:t>A new</w:t>
      </w:r>
      <w:r w:rsidRPr="000F5692">
        <w:rPr>
          <w:rFonts w:ascii="Times New Roman" w:hAnsi="Times New Roman"/>
          <w:sz w:val="20"/>
          <w:szCs w:val="20"/>
          <w:lang w:val="en-US"/>
        </w:rPr>
        <w:t xml:space="preserve"> </w:t>
      </w:r>
      <w:r w:rsidR="00E26941" w:rsidRPr="000F5692">
        <w:rPr>
          <w:rFonts w:ascii="Times New Roman" w:hAnsi="Times New Roman"/>
          <w:sz w:val="20"/>
          <w:szCs w:val="20"/>
          <w:lang w:val="en-US"/>
        </w:rPr>
        <w:t>SRB5 (corresponding to SRB4 in MN</w:t>
      </w:r>
      <w:r w:rsidR="000F5692" w:rsidRPr="000F5692">
        <w:rPr>
          <w:rFonts w:ascii="Times New Roman" w:hAnsi="Times New Roman"/>
          <w:sz w:val="20"/>
          <w:szCs w:val="20"/>
          <w:lang w:val="en-US"/>
        </w:rPr>
        <w:t>)</w:t>
      </w:r>
    </w:p>
    <w:p w14:paraId="4F81D902" w14:textId="1FFD8FBB" w:rsidR="00E26941" w:rsidRPr="000F5692" w:rsidRDefault="00E26941" w:rsidP="000F5692">
      <w:pPr>
        <w:pStyle w:val="ListParagraph"/>
        <w:numPr>
          <w:ilvl w:val="1"/>
          <w:numId w:val="12"/>
        </w:numPr>
        <w:jc w:val="both"/>
        <w:rPr>
          <w:rFonts w:ascii="Times New Roman" w:hAnsi="Times New Roman"/>
          <w:sz w:val="20"/>
          <w:szCs w:val="20"/>
          <w:lang w:val="en-US"/>
        </w:rPr>
      </w:pPr>
      <w:r w:rsidRPr="000F5692">
        <w:rPr>
          <w:rFonts w:ascii="Times New Roman" w:hAnsi="Times New Roman"/>
          <w:sz w:val="20"/>
          <w:szCs w:val="20"/>
          <w:lang w:val="en-US"/>
        </w:rPr>
        <w:t>for MeasReportAppLayer</w:t>
      </w:r>
    </w:p>
    <w:p w14:paraId="52F8D9B1" w14:textId="7B0C694E" w:rsidR="000F5692" w:rsidRDefault="000F5692" w:rsidP="00826669">
      <w:pPr>
        <w:jc w:val="both"/>
        <w:rPr>
          <w:lang w:val="en-US"/>
        </w:rPr>
      </w:pPr>
      <w:r>
        <w:rPr>
          <w:lang w:val="en-US"/>
        </w:rPr>
        <w:t>For the message selection, from specification point of view, we believe a clean solution would be to reuse MeasReportAppLayer message:</w:t>
      </w:r>
    </w:p>
    <w:p w14:paraId="04587721" w14:textId="180ADA8C" w:rsidR="000F5692" w:rsidRDefault="000F5692" w:rsidP="000F5692">
      <w:r w:rsidRPr="004B5C43">
        <w:rPr>
          <w:b/>
          <w:bCs/>
        </w:rPr>
        <w:t xml:space="preserve">Proposal </w:t>
      </w:r>
      <w:r w:rsidR="00F52F9F">
        <w:rPr>
          <w:b/>
          <w:bCs/>
        </w:rPr>
        <w:t>3</w:t>
      </w:r>
      <w:r w:rsidRPr="004B5C43">
        <w:rPr>
          <w:b/>
          <w:bCs/>
        </w:rPr>
        <w:t>:</w:t>
      </w:r>
      <w:r>
        <w:t xml:space="preserve"> The UE sends the QoE reports to the SN with MeasReportAppLayer message. </w:t>
      </w:r>
    </w:p>
    <w:p w14:paraId="3160488F" w14:textId="2630C9A0" w:rsidR="006D4365" w:rsidRDefault="7DB8771C" w:rsidP="00826669">
      <w:pPr>
        <w:jc w:val="both"/>
      </w:pPr>
      <w:r w:rsidRPr="2FB32D9F">
        <w:rPr>
          <w:lang w:val="en-US"/>
        </w:rPr>
        <w:t>However, t</w:t>
      </w:r>
      <w:r w:rsidR="000F5692">
        <w:rPr>
          <w:lang w:val="en-US"/>
        </w:rPr>
        <w:t>he SRB selection</w:t>
      </w:r>
      <w:r w:rsidR="006D4365">
        <w:rPr>
          <w:lang w:val="en-US"/>
        </w:rPr>
        <w:t xml:space="preserve"> needs further discussion and understanding on operators’ </w:t>
      </w:r>
      <w:r w:rsidR="00E26941">
        <w:rPr>
          <w:lang w:val="en-US"/>
        </w:rPr>
        <w:t xml:space="preserve">requirements </w:t>
      </w:r>
      <w:r w:rsidR="000F5692">
        <w:rPr>
          <w:lang w:val="en-US"/>
        </w:rPr>
        <w:t>on priorities expected</w:t>
      </w:r>
      <w:r w:rsidR="00E26941">
        <w:rPr>
          <w:lang w:val="en-US"/>
        </w:rPr>
        <w:t xml:space="preserve"> for </w:t>
      </w:r>
      <w:r w:rsidR="006D4365">
        <w:rPr>
          <w:lang w:val="en-US"/>
        </w:rPr>
        <w:t>QoE reporting</w:t>
      </w:r>
      <w:r w:rsidR="00E26941">
        <w:rPr>
          <w:lang w:val="en-US"/>
        </w:rPr>
        <w:t xml:space="preserve"> to SN</w:t>
      </w:r>
      <w:r w:rsidR="006D4365">
        <w:rPr>
          <w:lang w:val="en-US"/>
        </w:rPr>
        <w:t xml:space="preserve">. </w:t>
      </w:r>
    </w:p>
    <w:p w14:paraId="2A6E0735" w14:textId="01C61C38" w:rsidR="000F5692" w:rsidRDefault="000F5692" w:rsidP="000F5692">
      <w:r w:rsidRPr="004B5C43">
        <w:rPr>
          <w:b/>
          <w:bCs/>
        </w:rPr>
        <w:t xml:space="preserve">Proposal </w:t>
      </w:r>
      <w:r w:rsidR="00F52F9F">
        <w:rPr>
          <w:b/>
          <w:bCs/>
        </w:rPr>
        <w:t>4</w:t>
      </w:r>
      <w:r w:rsidRPr="004B5C43">
        <w:rPr>
          <w:b/>
          <w:bCs/>
        </w:rPr>
        <w:t>:</w:t>
      </w:r>
      <w:r>
        <w:t xml:space="preserve"> FFS which SRB is used to transfer the QoE reports to the SN.</w:t>
      </w:r>
    </w:p>
    <w:p w14:paraId="0A484AA1" w14:textId="06ED3CE5" w:rsidR="00FC25B7" w:rsidRDefault="00FC25B7" w:rsidP="00FC25B7">
      <w:pPr>
        <w:pStyle w:val="Heading2"/>
        <w:rPr>
          <w:lang w:eastAsia="zh-CN"/>
        </w:rPr>
      </w:pPr>
      <w:r>
        <w:rPr>
          <w:lang w:eastAsia="zh-CN"/>
        </w:rPr>
        <w:t>2.</w:t>
      </w:r>
      <w:r w:rsidR="00141063">
        <w:rPr>
          <w:lang w:eastAsia="zh-CN"/>
        </w:rPr>
        <w:t>3</w:t>
      </w:r>
      <w:r>
        <w:tab/>
      </w:r>
      <w:r>
        <w:rPr>
          <w:lang w:eastAsia="zh-CN"/>
        </w:rPr>
        <w:t>QoE Pause</w:t>
      </w:r>
    </w:p>
    <w:p w14:paraId="3975ED69" w14:textId="585C90A8" w:rsidR="4E7B5166" w:rsidRPr="00A33127" w:rsidRDefault="4E7B5166" w:rsidP="00A33127">
      <w:r w:rsidRPr="00A33127">
        <w:t>To deal with RAN overload</w:t>
      </w:r>
      <w:r w:rsidR="5535E2CD" w:rsidRPr="00A33127">
        <w:t xml:space="preserve">, Rel-17 introduced QoE Pause/Resume mechanism. If the networks is overloaded </w:t>
      </w:r>
      <w:r w:rsidR="66E36668" w:rsidRPr="00A33127">
        <w:t>it can which u</w:t>
      </w:r>
      <w:r w:rsidR="006C7FBE" w:rsidRPr="00A33127">
        <w:t>se</w:t>
      </w:r>
      <w:r w:rsidR="66E36668" w:rsidRPr="00A33127">
        <w:t xml:space="preserve"> ‘pauseReporting’ RRC indication to temporarily stop QoE reports from being sent from the UE to the network. Handling of the suspended reports relies on buffering in the UE Access Stratum, until the gNB resumes the QoE reports.</w:t>
      </w:r>
    </w:p>
    <w:p w14:paraId="4DF376F2" w14:textId="096C818B" w:rsidR="007D44BE" w:rsidRDefault="00867FE6" w:rsidP="00A33127">
      <w:r>
        <w:t>In DC, t</w:t>
      </w:r>
      <w:r w:rsidR="008C6DA5">
        <w:t>he temporary suspension of the QoE reporting</w:t>
      </w:r>
      <w:r>
        <w:t xml:space="preserve"> may </w:t>
      </w:r>
      <w:r w:rsidR="00C472BD">
        <w:t xml:space="preserve">take different </w:t>
      </w:r>
      <w:r w:rsidR="00E6147B">
        <w:t xml:space="preserve">meaning. </w:t>
      </w:r>
      <w:r w:rsidR="00F36BF9">
        <w:t>After configuring the UE to suspend the QoE report transmission</w:t>
      </w:r>
      <w:r w:rsidR="00EB25FB">
        <w:t xml:space="preserve">, </w:t>
      </w:r>
      <w:r w:rsidR="00420069">
        <w:t>the UE does not know whether the sus</w:t>
      </w:r>
      <w:r w:rsidR="00F84B07">
        <w:t xml:space="preserve">pension concern </w:t>
      </w:r>
      <w:r w:rsidR="00EC6A3B">
        <w:t xml:space="preserve">any </w:t>
      </w:r>
      <w:r w:rsidR="002D1595">
        <w:t xml:space="preserve">reporting </w:t>
      </w:r>
      <w:r w:rsidR="009C40CE">
        <w:t xml:space="preserve">or </w:t>
      </w:r>
      <w:r w:rsidR="002D1595">
        <w:t>to MN o</w:t>
      </w:r>
      <w:r w:rsidR="009C40CE">
        <w:t>nly.</w:t>
      </w:r>
      <w:r w:rsidR="002D1595">
        <w:t xml:space="preserve"> </w:t>
      </w:r>
    </w:p>
    <w:p w14:paraId="619F0CC7" w14:textId="740F391E" w:rsidR="004D2980" w:rsidRDefault="007D44BE" w:rsidP="00A33127">
      <w:r w:rsidRPr="00C610C9">
        <w:rPr>
          <w:b/>
          <w:bCs/>
        </w:rPr>
        <w:t xml:space="preserve">Observation </w:t>
      </w:r>
      <w:r w:rsidR="004D2980" w:rsidRPr="00C610C9">
        <w:rPr>
          <w:b/>
          <w:bCs/>
        </w:rPr>
        <w:t>5</w:t>
      </w:r>
      <w:r w:rsidR="00100594" w:rsidRPr="00C610C9">
        <w:rPr>
          <w:b/>
          <w:bCs/>
        </w:rPr>
        <w:t>:</w:t>
      </w:r>
      <w:r w:rsidR="00100594">
        <w:t xml:space="preserve"> </w:t>
      </w:r>
      <w:r w:rsidR="00100594" w:rsidRPr="00A33127">
        <w:t xml:space="preserve">‘pauseReporting’ RRC indication </w:t>
      </w:r>
      <w:r w:rsidR="004D2980">
        <w:t xml:space="preserve">from MN </w:t>
      </w:r>
      <w:r w:rsidR="00E21164">
        <w:t xml:space="preserve">does not clarify </w:t>
      </w:r>
      <w:r w:rsidR="00C610C9">
        <w:t xml:space="preserve">whether the UE can </w:t>
      </w:r>
      <w:r w:rsidR="00E010A3">
        <w:t>transfer the QoE reports to the SN.</w:t>
      </w:r>
    </w:p>
    <w:p w14:paraId="4FFF3F25" w14:textId="73496470" w:rsidR="008C6DA5" w:rsidRPr="00A33127" w:rsidRDefault="00E6147B" w:rsidP="00A33127">
      <w:r>
        <w:t xml:space="preserve">Since there will be possibility to report to the SN, and Rel-18 aims to </w:t>
      </w:r>
      <w:r w:rsidR="0023333E">
        <w:t>support reporting continuity</w:t>
      </w:r>
      <w:r w:rsidR="00AE6C19">
        <w:t>,</w:t>
      </w:r>
      <w:r w:rsidR="005763B2">
        <w:t xml:space="preserve"> the received </w:t>
      </w:r>
      <w:r w:rsidR="00EF2712">
        <w:t xml:space="preserve">pause indication </w:t>
      </w:r>
      <w:r w:rsidR="00235228">
        <w:t xml:space="preserve">could trigger </w:t>
      </w:r>
      <w:r w:rsidR="00281040">
        <w:t xml:space="preserve">different actions, which are currently </w:t>
      </w:r>
      <w:r w:rsidR="00DE384F">
        <w:t xml:space="preserve">unspecified. </w:t>
      </w:r>
    </w:p>
    <w:p w14:paraId="4D5FD961" w14:textId="0A1864B2" w:rsidR="00FC25B7" w:rsidRDefault="00227635" w:rsidP="008E3ABF">
      <w:pPr>
        <w:spacing w:line="259" w:lineRule="auto"/>
      </w:pPr>
      <w:r w:rsidRPr="00227635">
        <w:rPr>
          <w:b/>
          <w:bCs/>
        </w:rPr>
        <w:t>Proposal</w:t>
      </w:r>
      <w:r>
        <w:rPr>
          <w:b/>
          <w:bCs/>
        </w:rPr>
        <w:t xml:space="preserve"> 5</w:t>
      </w:r>
      <w:r w:rsidRPr="00227635">
        <w:rPr>
          <w:b/>
          <w:bCs/>
        </w:rPr>
        <w:t xml:space="preserve">: </w:t>
      </w:r>
      <w:r w:rsidRPr="00227635">
        <w:t xml:space="preserve">Rel-17 Pause mechanism should be </w:t>
      </w:r>
      <w:r w:rsidR="00B356AA">
        <w:t>adopted</w:t>
      </w:r>
      <w:r w:rsidRPr="00227635">
        <w:t xml:space="preserve"> to </w:t>
      </w:r>
      <w:r>
        <w:t xml:space="preserve">support </w:t>
      </w:r>
      <w:r w:rsidRPr="00227635">
        <w:t>NR-DC</w:t>
      </w:r>
      <w:r w:rsidR="005C5FF3">
        <w:t>.</w:t>
      </w:r>
      <w:r w:rsidRPr="00227635">
        <w:t xml:space="preserve"> </w:t>
      </w:r>
    </w:p>
    <w:p w14:paraId="47180140" w14:textId="0898B96A" w:rsidR="008E3ABF" w:rsidRPr="00227635" w:rsidRDefault="008E3ABF" w:rsidP="008E3ABF">
      <w:pPr>
        <w:spacing w:line="259" w:lineRule="auto"/>
        <w:rPr>
          <w:b/>
          <w:bCs/>
        </w:rPr>
      </w:pPr>
      <w:r w:rsidRPr="008E3ABF">
        <w:rPr>
          <w:b/>
          <w:bCs/>
        </w:rPr>
        <w:lastRenderedPageBreak/>
        <w:t>Proposal 6:</w:t>
      </w:r>
      <w:r>
        <w:t xml:space="preserve"> </w:t>
      </w:r>
      <w:r w:rsidRPr="00227635">
        <w:t xml:space="preserve">FFS </w:t>
      </w:r>
      <w:r>
        <w:t xml:space="preserve">what </w:t>
      </w:r>
      <w:r w:rsidRPr="005318FE">
        <w:rPr>
          <w:lang w:val="en-US"/>
        </w:rPr>
        <w:t>pauseReporting</w:t>
      </w:r>
      <w:r w:rsidRPr="00227635">
        <w:t xml:space="preserve"> </w:t>
      </w:r>
      <w:r>
        <w:t>implies in DC (e.g.,</w:t>
      </w:r>
      <w:r w:rsidRPr="00227635">
        <w:t xml:space="preserve"> if MN sends Pause to </w:t>
      </w:r>
      <w:r>
        <w:t>suspend reporting to both</w:t>
      </w:r>
      <w:r w:rsidR="006B5069">
        <w:t>:</w:t>
      </w:r>
      <w:r>
        <w:t xml:space="preserve"> MN and SN, or </w:t>
      </w:r>
      <w:r w:rsidRPr="00227635">
        <w:t xml:space="preserve">to </w:t>
      </w:r>
      <w:r>
        <w:t>suspend reporting to MN only)</w:t>
      </w:r>
      <w:r w:rsidRPr="00227635">
        <w:t>.</w:t>
      </w:r>
    </w:p>
    <w:p w14:paraId="0D110258" w14:textId="77777777" w:rsidR="00CD4C7B" w:rsidRPr="006E13D1" w:rsidRDefault="00972FD7" w:rsidP="00CD4C7B">
      <w:pPr>
        <w:pStyle w:val="Heading1"/>
      </w:pPr>
      <w:r>
        <w:t>3</w:t>
      </w:r>
      <w:r w:rsidR="00CD4C7B" w:rsidRPr="006E13D1">
        <w:tab/>
      </w:r>
      <w:r>
        <w:t>Conclusion</w:t>
      </w:r>
    </w:p>
    <w:p w14:paraId="6093981F" w14:textId="1546941C" w:rsidR="00CD4C7B" w:rsidRDefault="005235F2" w:rsidP="00CD4C7B">
      <w:r>
        <w:t>In this document the following proposals have been made</w:t>
      </w:r>
      <w:r w:rsidR="004D2EF4">
        <w:t>:</w:t>
      </w:r>
    </w:p>
    <w:p w14:paraId="33997850" w14:textId="284D670F" w:rsidR="0066389B" w:rsidRDefault="00F52F9F" w:rsidP="00F52F9F">
      <w:r w:rsidRPr="004B5C43">
        <w:rPr>
          <w:b/>
          <w:bCs/>
        </w:rPr>
        <w:t>Proposal 1:</w:t>
      </w:r>
      <w:r>
        <w:t xml:space="preserve"> RRC Reconfiguration with MeasConfigAppLayer s</w:t>
      </w:r>
      <w:r w:rsidR="002F23E1">
        <w:t>erves the purpo</w:t>
      </w:r>
      <w:r w:rsidR="0066389B">
        <w:t>s</w:t>
      </w:r>
      <w:r w:rsidR="002F23E1">
        <w:t>e</w:t>
      </w:r>
      <w:r w:rsidR="0066389B">
        <w:t xml:space="preserve"> to configure QoE measurement collection in NR-DC</w:t>
      </w:r>
      <w:r>
        <w:t xml:space="preserve">. </w:t>
      </w:r>
    </w:p>
    <w:p w14:paraId="0EE0E254" w14:textId="43CF0765" w:rsidR="00F52F9F" w:rsidRDefault="00371131" w:rsidP="00F52F9F">
      <w:r w:rsidRPr="008950A4">
        <w:rPr>
          <w:b/>
          <w:bCs/>
        </w:rPr>
        <w:t>Proposal 2:</w:t>
      </w:r>
      <w:r>
        <w:t xml:space="preserve"> </w:t>
      </w:r>
      <w:r w:rsidR="00F52F9F">
        <w:t>Only MN sends the QoE configuration to the UE with RRC Reconfiguration</w:t>
      </w:r>
      <w:r w:rsidR="005235F2">
        <w:t xml:space="preserve"> </w:t>
      </w:r>
      <w:r>
        <w:t>for both: container-based QoE and RAN-visible QoE</w:t>
      </w:r>
      <w:r w:rsidR="005235F2">
        <w:t>.</w:t>
      </w:r>
    </w:p>
    <w:p w14:paraId="0477A430" w14:textId="77777777" w:rsidR="00F52F9F" w:rsidRDefault="00F52F9F" w:rsidP="00F52F9F">
      <w:r w:rsidRPr="004B5C43">
        <w:rPr>
          <w:b/>
          <w:bCs/>
        </w:rPr>
        <w:t xml:space="preserve">Proposal </w:t>
      </w:r>
      <w:r>
        <w:rPr>
          <w:b/>
          <w:bCs/>
        </w:rPr>
        <w:t>3</w:t>
      </w:r>
      <w:r w:rsidRPr="004B5C43">
        <w:rPr>
          <w:b/>
          <w:bCs/>
        </w:rPr>
        <w:t>:</w:t>
      </w:r>
      <w:r>
        <w:t xml:space="preserve"> The UE sends the QoE reports to the SN with MeasReportAppLayer message. </w:t>
      </w:r>
    </w:p>
    <w:p w14:paraId="73EAFCFA" w14:textId="77777777" w:rsidR="00F52F9F" w:rsidRDefault="00F52F9F" w:rsidP="00F52F9F">
      <w:r w:rsidRPr="004B5C43">
        <w:rPr>
          <w:b/>
          <w:bCs/>
        </w:rPr>
        <w:t xml:space="preserve">Proposal </w:t>
      </w:r>
      <w:r>
        <w:rPr>
          <w:b/>
          <w:bCs/>
        </w:rPr>
        <w:t>4</w:t>
      </w:r>
      <w:r w:rsidRPr="004B5C43">
        <w:rPr>
          <w:b/>
          <w:bCs/>
        </w:rPr>
        <w:t>:</w:t>
      </w:r>
      <w:r>
        <w:t xml:space="preserve"> FFS which SRB is used to transfer the QoE reports to the SN.</w:t>
      </w:r>
    </w:p>
    <w:p w14:paraId="55193BD4" w14:textId="07FF0807" w:rsidR="00BE0C22" w:rsidRDefault="00E66EDF" w:rsidP="00E66EDF">
      <w:pPr>
        <w:spacing w:line="259" w:lineRule="auto"/>
      </w:pPr>
      <w:r w:rsidRPr="00227635">
        <w:rPr>
          <w:b/>
          <w:bCs/>
        </w:rPr>
        <w:t>Proposal</w:t>
      </w:r>
      <w:r>
        <w:rPr>
          <w:b/>
          <w:bCs/>
        </w:rPr>
        <w:t xml:space="preserve"> 5</w:t>
      </w:r>
      <w:r w:rsidRPr="00227635">
        <w:rPr>
          <w:b/>
          <w:bCs/>
        </w:rPr>
        <w:t xml:space="preserve">: </w:t>
      </w:r>
      <w:r w:rsidRPr="00227635">
        <w:t xml:space="preserve">Rel-17 Pause mechanism should be </w:t>
      </w:r>
      <w:r w:rsidR="00807955">
        <w:t>adopted</w:t>
      </w:r>
      <w:r w:rsidRPr="00227635">
        <w:t xml:space="preserve"> to </w:t>
      </w:r>
      <w:r>
        <w:t xml:space="preserve">support </w:t>
      </w:r>
      <w:r w:rsidRPr="00227635">
        <w:t>NR-DC</w:t>
      </w:r>
      <w:r>
        <w:t>.</w:t>
      </w:r>
      <w:r w:rsidRPr="00227635">
        <w:t xml:space="preserve"> </w:t>
      </w:r>
    </w:p>
    <w:p w14:paraId="5DFCD650" w14:textId="17D95B85" w:rsidR="00E66EDF" w:rsidRPr="00227635" w:rsidRDefault="008E3ABF" w:rsidP="00E66EDF">
      <w:pPr>
        <w:spacing w:line="259" w:lineRule="auto"/>
        <w:rPr>
          <w:b/>
          <w:bCs/>
        </w:rPr>
      </w:pPr>
      <w:r w:rsidRPr="008E3ABF">
        <w:rPr>
          <w:b/>
          <w:bCs/>
        </w:rPr>
        <w:t>Proposal 6:</w:t>
      </w:r>
      <w:r>
        <w:t xml:space="preserve"> </w:t>
      </w:r>
      <w:r w:rsidR="00E66EDF" w:rsidRPr="00227635">
        <w:t xml:space="preserve">FFS </w:t>
      </w:r>
      <w:r w:rsidR="00E66EDF">
        <w:t xml:space="preserve">what </w:t>
      </w:r>
      <w:r w:rsidR="00E66EDF" w:rsidRPr="005318FE">
        <w:rPr>
          <w:lang w:val="en-US"/>
        </w:rPr>
        <w:t>pauseReporting</w:t>
      </w:r>
      <w:r w:rsidR="00E66EDF" w:rsidRPr="00227635">
        <w:t xml:space="preserve"> </w:t>
      </w:r>
      <w:r w:rsidR="00E66EDF">
        <w:t>implies in DC (e.g.,</w:t>
      </w:r>
      <w:r w:rsidR="00E66EDF" w:rsidRPr="00227635">
        <w:t xml:space="preserve"> if MN sends Pause to </w:t>
      </w:r>
      <w:r w:rsidR="00E66EDF">
        <w:t>suspend reporting to both</w:t>
      </w:r>
      <w:r w:rsidR="006B5069">
        <w:t>:</w:t>
      </w:r>
      <w:r w:rsidR="00E66EDF">
        <w:t xml:space="preserve"> MN and SN, or </w:t>
      </w:r>
      <w:r w:rsidR="00E66EDF" w:rsidRPr="00227635">
        <w:t xml:space="preserve">to </w:t>
      </w:r>
      <w:r w:rsidR="00E66EDF">
        <w:t>suspend reporting to MN only)</w:t>
      </w:r>
      <w:r w:rsidR="00E66EDF" w:rsidRPr="00227635">
        <w:t>.</w:t>
      </w:r>
    </w:p>
    <w:p w14:paraId="3BB18549" w14:textId="77777777" w:rsidR="00A33127" w:rsidRDefault="00A33127" w:rsidP="00F52F9F"/>
    <w:p w14:paraId="0BA2BD6A" w14:textId="23F9D41E" w:rsidR="00080512" w:rsidRPr="00CD4C7B" w:rsidRDefault="00080512" w:rsidP="00E6706C">
      <w:pPr>
        <w:jc w:val="both"/>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E8D0" w14:textId="77777777" w:rsidR="00F52DA0" w:rsidRDefault="00F52DA0">
      <w:r>
        <w:separator/>
      </w:r>
    </w:p>
  </w:endnote>
  <w:endnote w:type="continuationSeparator" w:id="0">
    <w:p w14:paraId="7AA20B6B" w14:textId="77777777" w:rsidR="00F52DA0" w:rsidRDefault="00F52DA0">
      <w:r>
        <w:continuationSeparator/>
      </w:r>
    </w:p>
  </w:endnote>
  <w:endnote w:type="continuationNotice" w:id="1">
    <w:p w14:paraId="60BF3B84" w14:textId="77777777" w:rsidR="00F52DA0" w:rsidRDefault="00F52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2E9BD" w14:textId="77777777" w:rsidR="00F52DA0" w:rsidRDefault="00F52DA0">
      <w:r>
        <w:separator/>
      </w:r>
    </w:p>
  </w:footnote>
  <w:footnote w:type="continuationSeparator" w:id="0">
    <w:p w14:paraId="20D735A7" w14:textId="77777777" w:rsidR="00F52DA0" w:rsidRDefault="00F52DA0">
      <w:r>
        <w:continuationSeparator/>
      </w:r>
    </w:p>
  </w:footnote>
  <w:footnote w:type="continuationNotice" w:id="1">
    <w:p w14:paraId="4B004F23" w14:textId="77777777" w:rsidR="00F52DA0" w:rsidRDefault="00F52D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846"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9F0A03"/>
    <w:multiLevelType w:val="hybridMultilevel"/>
    <w:tmpl w:val="70AE5D20"/>
    <w:lvl w:ilvl="0" w:tplc="EC2049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9B7406"/>
    <w:multiLevelType w:val="hybridMultilevel"/>
    <w:tmpl w:val="FFFFFFFF"/>
    <w:lvl w:ilvl="0" w:tplc="23745F98">
      <w:start w:val="1"/>
      <w:numFmt w:val="bullet"/>
      <w:lvlText w:val="-"/>
      <w:lvlJc w:val="left"/>
      <w:pPr>
        <w:ind w:left="720" w:hanging="360"/>
      </w:pPr>
      <w:rPr>
        <w:rFonts w:ascii="&quot;Times New Roman&quot;,serif" w:hAnsi="&quot;Times New Roman&quot;,serif" w:hint="default"/>
      </w:rPr>
    </w:lvl>
    <w:lvl w:ilvl="1" w:tplc="A2D4449C">
      <w:start w:val="1"/>
      <w:numFmt w:val="bullet"/>
      <w:lvlText w:val="o"/>
      <w:lvlJc w:val="left"/>
      <w:pPr>
        <w:ind w:left="1440" w:hanging="360"/>
      </w:pPr>
      <w:rPr>
        <w:rFonts w:ascii="Courier New" w:hAnsi="Courier New" w:hint="default"/>
      </w:rPr>
    </w:lvl>
    <w:lvl w:ilvl="2" w:tplc="7B5E3224">
      <w:start w:val="1"/>
      <w:numFmt w:val="bullet"/>
      <w:lvlText w:val=""/>
      <w:lvlJc w:val="left"/>
      <w:pPr>
        <w:ind w:left="2160" w:hanging="360"/>
      </w:pPr>
      <w:rPr>
        <w:rFonts w:ascii="Wingdings" w:hAnsi="Wingdings" w:hint="default"/>
      </w:rPr>
    </w:lvl>
    <w:lvl w:ilvl="3" w:tplc="F9E432AC">
      <w:start w:val="1"/>
      <w:numFmt w:val="bullet"/>
      <w:lvlText w:val=""/>
      <w:lvlJc w:val="left"/>
      <w:pPr>
        <w:ind w:left="2880" w:hanging="360"/>
      </w:pPr>
      <w:rPr>
        <w:rFonts w:ascii="Symbol" w:hAnsi="Symbol" w:hint="default"/>
      </w:rPr>
    </w:lvl>
    <w:lvl w:ilvl="4" w:tplc="723CEA46">
      <w:start w:val="1"/>
      <w:numFmt w:val="bullet"/>
      <w:lvlText w:val="o"/>
      <w:lvlJc w:val="left"/>
      <w:pPr>
        <w:ind w:left="3600" w:hanging="360"/>
      </w:pPr>
      <w:rPr>
        <w:rFonts w:ascii="Courier New" w:hAnsi="Courier New" w:hint="default"/>
      </w:rPr>
    </w:lvl>
    <w:lvl w:ilvl="5" w:tplc="2EE6979E">
      <w:start w:val="1"/>
      <w:numFmt w:val="bullet"/>
      <w:lvlText w:val=""/>
      <w:lvlJc w:val="left"/>
      <w:pPr>
        <w:ind w:left="4320" w:hanging="360"/>
      </w:pPr>
      <w:rPr>
        <w:rFonts w:ascii="Wingdings" w:hAnsi="Wingdings" w:hint="default"/>
      </w:rPr>
    </w:lvl>
    <w:lvl w:ilvl="6" w:tplc="269A38BE">
      <w:start w:val="1"/>
      <w:numFmt w:val="bullet"/>
      <w:lvlText w:val=""/>
      <w:lvlJc w:val="left"/>
      <w:pPr>
        <w:ind w:left="5040" w:hanging="360"/>
      </w:pPr>
      <w:rPr>
        <w:rFonts w:ascii="Symbol" w:hAnsi="Symbol" w:hint="default"/>
      </w:rPr>
    </w:lvl>
    <w:lvl w:ilvl="7" w:tplc="231C2E12">
      <w:start w:val="1"/>
      <w:numFmt w:val="bullet"/>
      <w:lvlText w:val="o"/>
      <w:lvlJc w:val="left"/>
      <w:pPr>
        <w:ind w:left="5760" w:hanging="360"/>
      </w:pPr>
      <w:rPr>
        <w:rFonts w:ascii="Courier New" w:hAnsi="Courier New" w:hint="default"/>
      </w:rPr>
    </w:lvl>
    <w:lvl w:ilvl="8" w:tplc="E2E4DE12">
      <w:start w:val="1"/>
      <w:numFmt w:val="bullet"/>
      <w:lvlText w:val=""/>
      <w:lvlJc w:val="left"/>
      <w:pPr>
        <w:ind w:left="6480" w:hanging="360"/>
      </w:pPr>
      <w:rPr>
        <w:rFonts w:ascii="Wingdings" w:hAnsi="Wingdings" w:hint="default"/>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C27463C"/>
    <w:multiLevelType w:val="multilevel"/>
    <w:tmpl w:val="4C2746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638F3299"/>
    <w:multiLevelType w:val="hybridMultilevel"/>
    <w:tmpl w:val="2A26562C"/>
    <w:lvl w:ilvl="0" w:tplc="CFB6272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DA26EF"/>
    <w:multiLevelType w:val="hybridMultilevel"/>
    <w:tmpl w:val="887C9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C744709"/>
    <w:multiLevelType w:val="hybridMultilevel"/>
    <w:tmpl w:val="AE2C6102"/>
    <w:lvl w:ilvl="0" w:tplc="11AEBBFC">
      <w:start w:val="1"/>
      <w:numFmt w:val="bullet"/>
      <w:lvlText w:val="•"/>
      <w:lvlJc w:val="left"/>
      <w:pPr>
        <w:tabs>
          <w:tab w:val="num" w:pos="720"/>
        </w:tabs>
        <w:ind w:left="720" w:hanging="360"/>
      </w:pPr>
      <w:rPr>
        <w:rFonts w:ascii="Arial" w:hAnsi="Arial" w:hint="default"/>
      </w:rPr>
    </w:lvl>
    <w:lvl w:ilvl="1" w:tplc="38A2E912" w:tentative="1">
      <w:start w:val="1"/>
      <w:numFmt w:val="bullet"/>
      <w:lvlText w:val="•"/>
      <w:lvlJc w:val="left"/>
      <w:pPr>
        <w:tabs>
          <w:tab w:val="num" w:pos="1440"/>
        </w:tabs>
        <w:ind w:left="1440" w:hanging="360"/>
      </w:pPr>
      <w:rPr>
        <w:rFonts w:ascii="Arial" w:hAnsi="Arial" w:hint="default"/>
      </w:rPr>
    </w:lvl>
    <w:lvl w:ilvl="2" w:tplc="FA96EA16">
      <w:start w:val="1"/>
      <w:numFmt w:val="bullet"/>
      <w:lvlText w:val="•"/>
      <w:lvlJc w:val="left"/>
      <w:pPr>
        <w:tabs>
          <w:tab w:val="num" w:pos="2160"/>
        </w:tabs>
        <w:ind w:left="2160" w:hanging="360"/>
      </w:pPr>
      <w:rPr>
        <w:rFonts w:ascii="Arial" w:hAnsi="Arial" w:hint="default"/>
      </w:rPr>
    </w:lvl>
    <w:lvl w:ilvl="3" w:tplc="D32234C0" w:tentative="1">
      <w:start w:val="1"/>
      <w:numFmt w:val="bullet"/>
      <w:lvlText w:val="•"/>
      <w:lvlJc w:val="left"/>
      <w:pPr>
        <w:tabs>
          <w:tab w:val="num" w:pos="2880"/>
        </w:tabs>
        <w:ind w:left="2880" w:hanging="360"/>
      </w:pPr>
      <w:rPr>
        <w:rFonts w:ascii="Arial" w:hAnsi="Arial" w:hint="default"/>
      </w:rPr>
    </w:lvl>
    <w:lvl w:ilvl="4" w:tplc="2FFC5CE6" w:tentative="1">
      <w:start w:val="1"/>
      <w:numFmt w:val="bullet"/>
      <w:lvlText w:val="•"/>
      <w:lvlJc w:val="left"/>
      <w:pPr>
        <w:tabs>
          <w:tab w:val="num" w:pos="3600"/>
        </w:tabs>
        <w:ind w:left="3600" w:hanging="360"/>
      </w:pPr>
      <w:rPr>
        <w:rFonts w:ascii="Arial" w:hAnsi="Arial" w:hint="default"/>
      </w:rPr>
    </w:lvl>
    <w:lvl w:ilvl="5" w:tplc="71C4FEE2" w:tentative="1">
      <w:start w:val="1"/>
      <w:numFmt w:val="bullet"/>
      <w:lvlText w:val="•"/>
      <w:lvlJc w:val="left"/>
      <w:pPr>
        <w:tabs>
          <w:tab w:val="num" w:pos="4320"/>
        </w:tabs>
        <w:ind w:left="4320" w:hanging="360"/>
      </w:pPr>
      <w:rPr>
        <w:rFonts w:ascii="Arial" w:hAnsi="Arial" w:hint="default"/>
      </w:rPr>
    </w:lvl>
    <w:lvl w:ilvl="6" w:tplc="C4126482" w:tentative="1">
      <w:start w:val="1"/>
      <w:numFmt w:val="bullet"/>
      <w:lvlText w:val="•"/>
      <w:lvlJc w:val="left"/>
      <w:pPr>
        <w:tabs>
          <w:tab w:val="num" w:pos="5040"/>
        </w:tabs>
        <w:ind w:left="5040" w:hanging="360"/>
      </w:pPr>
      <w:rPr>
        <w:rFonts w:ascii="Arial" w:hAnsi="Arial" w:hint="default"/>
      </w:rPr>
    </w:lvl>
    <w:lvl w:ilvl="7" w:tplc="24AC5B86" w:tentative="1">
      <w:start w:val="1"/>
      <w:numFmt w:val="bullet"/>
      <w:lvlText w:val="•"/>
      <w:lvlJc w:val="left"/>
      <w:pPr>
        <w:tabs>
          <w:tab w:val="num" w:pos="5760"/>
        </w:tabs>
        <w:ind w:left="5760" w:hanging="360"/>
      </w:pPr>
      <w:rPr>
        <w:rFonts w:ascii="Arial" w:hAnsi="Arial" w:hint="default"/>
      </w:rPr>
    </w:lvl>
    <w:lvl w:ilvl="8" w:tplc="7550DA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CD97121"/>
    <w:multiLevelType w:val="hybridMultilevel"/>
    <w:tmpl w:val="C16CCC54"/>
    <w:lvl w:ilvl="0" w:tplc="11AEBBFC">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4"/>
  </w:num>
  <w:num w:numId="7">
    <w:abstractNumId w:val="1"/>
  </w:num>
  <w:num w:numId="8">
    <w:abstractNumId w:val="11"/>
  </w:num>
  <w:num w:numId="9">
    <w:abstractNumId w:val="9"/>
  </w:num>
  <w:num w:numId="10">
    <w:abstractNumId w:val="8"/>
  </w:num>
  <w:num w:numId="11">
    <w:abstractNumId w:val="3"/>
  </w:num>
  <w:num w:numId="12">
    <w:abstractNumId w:val="10"/>
  </w:num>
  <w:num w:numId="13">
    <w:abstractNumId w:val="12"/>
  </w:num>
  <w:num w:numId="14">
    <w:abstractNumId w:val="13"/>
  </w:num>
  <w:num w:numId="15">
    <w:abstractNumId w:val="5"/>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B9F"/>
    <w:rsid w:val="000168A0"/>
    <w:rsid w:val="00022318"/>
    <w:rsid w:val="00033397"/>
    <w:rsid w:val="000342C7"/>
    <w:rsid w:val="00040095"/>
    <w:rsid w:val="00043BBB"/>
    <w:rsid w:val="0005440F"/>
    <w:rsid w:val="0005563E"/>
    <w:rsid w:val="000627C2"/>
    <w:rsid w:val="00080512"/>
    <w:rsid w:val="00082BC9"/>
    <w:rsid w:val="00083F0D"/>
    <w:rsid w:val="000B1E3D"/>
    <w:rsid w:val="000B7BCF"/>
    <w:rsid w:val="000C556D"/>
    <w:rsid w:val="000D376D"/>
    <w:rsid w:val="000D58AB"/>
    <w:rsid w:val="000E0343"/>
    <w:rsid w:val="000E14F3"/>
    <w:rsid w:val="000F0734"/>
    <w:rsid w:val="000F1B22"/>
    <w:rsid w:val="000F5692"/>
    <w:rsid w:val="00100594"/>
    <w:rsid w:val="00106BA9"/>
    <w:rsid w:val="001075B7"/>
    <w:rsid w:val="00124CD8"/>
    <w:rsid w:val="001370F2"/>
    <w:rsid w:val="00141063"/>
    <w:rsid w:val="001549DD"/>
    <w:rsid w:val="00154EE5"/>
    <w:rsid w:val="001753B2"/>
    <w:rsid w:val="00177BC7"/>
    <w:rsid w:val="00183528"/>
    <w:rsid w:val="00194CD0"/>
    <w:rsid w:val="001A4EE0"/>
    <w:rsid w:val="001A7046"/>
    <w:rsid w:val="001B08B3"/>
    <w:rsid w:val="001B23DF"/>
    <w:rsid w:val="001B5923"/>
    <w:rsid w:val="001B7DB5"/>
    <w:rsid w:val="001C4281"/>
    <w:rsid w:val="001D0D3F"/>
    <w:rsid w:val="001D2E5D"/>
    <w:rsid w:val="001E39D1"/>
    <w:rsid w:val="001F168B"/>
    <w:rsid w:val="001F70B7"/>
    <w:rsid w:val="0022405F"/>
    <w:rsid w:val="00225F6D"/>
    <w:rsid w:val="0022606D"/>
    <w:rsid w:val="0022761C"/>
    <w:rsid w:val="00227635"/>
    <w:rsid w:val="002302B5"/>
    <w:rsid w:val="002305CE"/>
    <w:rsid w:val="002305DD"/>
    <w:rsid w:val="0023333E"/>
    <w:rsid w:val="00235228"/>
    <w:rsid w:val="00243BC7"/>
    <w:rsid w:val="00252296"/>
    <w:rsid w:val="002571C4"/>
    <w:rsid w:val="00260AFF"/>
    <w:rsid w:val="002623FC"/>
    <w:rsid w:val="0026325E"/>
    <w:rsid w:val="002747EC"/>
    <w:rsid w:val="00281040"/>
    <w:rsid w:val="002855BF"/>
    <w:rsid w:val="002953B2"/>
    <w:rsid w:val="002A4426"/>
    <w:rsid w:val="002A6891"/>
    <w:rsid w:val="002B3C09"/>
    <w:rsid w:val="002B7AD6"/>
    <w:rsid w:val="002D0353"/>
    <w:rsid w:val="002D1595"/>
    <w:rsid w:val="002E1692"/>
    <w:rsid w:val="002F0D22"/>
    <w:rsid w:val="002F23E1"/>
    <w:rsid w:val="003172DC"/>
    <w:rsid w:val="0032370F"/>
    <w:rsid w:val="00326069"/>
    <w:rsid w:val="00342661"/>
    <w:rsid w:val="003454FC"/>
    <w:rsid w:val="0035462D"/>
    <w:rsid w:val="00363177"/>
    <w:rsid w:val="003702F7"/>
    <w:rsid w:val="00371131"/>
    <w:rsid w:val="00385C62"/>
    <w:rsid w:val="003B3FB3"/>
    <w:rsid w:val="003C2323"/>
    <w:rsid w:val="003C4E37"/>
    <w:rsid w:val="003E1194"/>
    <w:rsid w:val="003E16BE"/>
    <w:rsid w:val="003E39EF"/>
    <w:rsid w:val="003E4268"/>
    <w:rsid w:val="003E5BBC"/>
    <w:rsid w:val="003E7223"/>
    <w:rsid w:val="003F298C"/>
    <w:rsid w:val="00401855"/>
    <w:rsid w:val="00406BCB"/>
    <w:rsid w:val="00416B8B"/>
    <w:rsid w:val="00420069"/>
    <w:rsid w:val="00436BEB"/>
    <w:rsid w:val="00464695"/>
    <w:rsid w:val="00470D82"/>
    <w:rsid w:val="004712A8"/>
    <w:rsid w:val="004763E4"/>
    <w:rsid w:val="004768B0"/>
    <w:rsid w:val="004B5C43"/>
    <w:rsid w:val="004C3DB8"/>
    <w:rsid w:val="004C5539"/>
    <w:rsid w:val="004D16AA"/>
    <w:rsid w:val="004D2980"/>
    <w:rsid w:val="004D2EF4"/>
    <w:rsid w:val="004D3578"/>
    <w:rsid w:val="004D380D"/>
    <w:rsid w:val="004D3F58"/>
    <w:rsid w:val="004D5E47"/>
    <w:rsid w:val="004E213A"/>
    <w:rsid w:val="004E21FC"/>
    <w:rsid w:val="00503171"/>
    <w:rsid w:val="00504E2C"/>
    <w:rsid w:val="005153FE"/>
    <w:rsid w:val="00515A3E"/>
    <w:rsid w:val="005235F2"/>
    <w:rsid w:val="005240A4"/>
    <w:rsid w:val="00524E0C"/>
    <w:rsid w:val="005318FE"/>
    <w:rsid w:val="00531C12"/>
    <w:rsid w:val="005323D2"/>
    <w:rsid w:val="00534139"/>
    <w:rsid w:val="00534DA0"/>
    <w:rsid w:val="00540B31"/>
    <w:rsid w:val="00540CC5"/>
    <w:rsid w:val="00543E6C"/>
    <w:rsid w:val="00544635"/>
    <w:rsid w:val="005449C3"/>
    <w:rsid w:val="00556513"/>
    <w:rsid w:val="005640CC"/>
    <w:rsid w:val="00565087"/>
    <w:rsid w:val="0056573F"/>
    <w:rsid w:val="00565BE9"/>
    <w:rsid w:val="00571CE2"/>
    <w:rsid w:val="005763B2"/>
    <w:rsid w:val="0057648B"/>
    <w:rsid w:val="00580252"/>
    <w:rsid w:val="00581504"/>
    <w:rsid w:val="005857F7"/>
    <w:rsid w:val="00596DC3"/>
    <w:rsid w:val="005A4971"/>
    <w:rsid w:val="005B1232"/>
    <w:rsid w:val="005B2EEF"/>
    <w:rsid w:val="005C5FF3"/>
    <w:rsid w:val="005D4274"/>
    <w:rsid w:val="00605E3E"/>
    <w:rsid w:val="00606DA9"/>
    <w:rsid w:val="00611566"/>
    <w:rsid w:val="00611D47"/>
    <w:rsid w:val="006134A2"/>
    <w:rsid w:val="0061623A"/>
    <w:rsid w:val="00624C5C"/>
    <w:rsid w:val="00632388"/>
    <w:rsid w:val="00634172"/>
    <w:rsid w:val="00635B0C"/>
    <w:rsid w:val="0065036B"/>
    <w:rsid w:val="00656E1E"/>
    <w:rsid w:val="006604E4"/>
    <w:rsid w:val="00660754"/>
    <w:rsid w:val="0066389B"/>
    <w:rsid w:val="0066586F"/>
    <w:rsid w:val="00667318"/>
    <w:rsid w:val="0067045B"/>
    <w:rsid w:val="00681463"/>
    <w:rsid w:val="00684F35"/>
    <w:rsid w:val="00691604"/>
    <w:rsid w:val="006922D4"/>
    <w:rsid w:val="00692838"/>
    <w:rsid w:val="00693B1B"/>
    <w:rsid w:val="006A5241"/>
    <w:rsid w:val="006B36A5"/>
    <w:rsid w:val="006B5069"/>
    <w:rsid w:val="006C54B5"/>
    <w:rsid w:val="006C7FBE"/>
    <w:rsid w:val="006D0D11"/>
    <w:rsid w:val="006D1E24"/>
    <w:rsid w:val="006D4365"/>
    <w:rsid w:val="006D5BCA"/>
    <w:rsid w:val="006E73E2"/>
    <w:rsid w:val="006F339E"/>
    <w:rsid w:val="00702BDF"/>
    <w:rsid w:val="0071271F"/>
    <w:rsid w:val="00734A5B"/>
    <w:rsid w:val="00741931"/>
    <w:rsid w:val="00741EC5"/>
    <w:rsid w:val="00743525"/>
    <w:rsid w:val="00744E76"/>
    <w:rsid w:val="007476DB"/>
    <w:rsid w:val="00754C3A"/>
    <w:rsid w:val="00757D40"/>
    <w:rsid w:val="007677A8"/>
    <w:rsid w:val="00767A38"/>
    <w:rsid w:val="00774846"/>
    <w:rsid w:val="00776CAD"/>
    <w:rsid w:val="00781F0F"/>
    <w:rsid w:val="0078248B"/>
    <w:rsid w:val="0078727C"/>
    <w:rsid w:val="0079300E"/>
    <w:rsid w:val="00797D4B"/>
    <w:rsid w:val="007B129B"/>
    <w:rsid w:val="007C095F"/>
    <w:rsid w:val="007D44BE"/>
    <w:rsid w:val="007D5902"/>
    <w:rsid w:val="007F2676"/>
    <w:rsid w:val="008011AD"/>
    <w:rsid w:val="00802106"/>
    <w:rsid w:val="008028A4"/>
    <w:rsid w:val="00806520"/>
    <w:rsid w:val="00806C0F"/>
    <w:rsid w:val="00807955"/>
    <w:rsid w:val="00815047"/>
    <w:rsid w:val="00826669"/>
    <w:rsid w:val="00830106"/>
    <w:rsid w:val="00840916"/>
    <w:rsid w:val="00840EF7"/>
    <w:rsid w:val="00853EDD"/>
    <w:rsid w:val="008604EE"/>
    <w:rsid w:val="00867FE6"/>
    <w:rsid w:val="0087401D"/>
    <w:rsid w:val="008768CA"/>
    <w:rsid w:val="00880559"/>
    <w:rsid w:val="0089246D"/>
    <w:rsid w:val="008950A4"/>
    <w:rsid w:val="008A0E5B"/>
    <w:rsid w:val="008A3249"/>
    <w:rsid w:val="008B4214"/>
    <w:rsid w:val="008B7650"/>
    <w:rsid w:val="008C2835"/>
    <w:rsid w:val="008C490B"/>
    <w:rsid w:val="008C6DA5"/>
    <w:rsid w:val="008E00FE"/>
    <w:rsid w:val="008E3ABF"/>
    <w:rsid w:val="0090271F"/>
    <w:rsid w:val="00903D8C"/>
    <w:rsid w:val="00903E23"/>
    <w:rsid w:val="0092277F"/>
    <w:rsid w:val="00923A76"/>
    <w:rsid w:val="00923E99"/>
    <w:rsid w:val="00941293"/>
    <w:rsid w:val="00942EC2"/>
    <w:rsid w:val="00947C15"/>
    <w:rsid w:val="00954BCB"/>
    <w:rsid w:val="00961B32"/>
    <w:rsid w:val="00971683"/>
    <w:rsid w:val="00972FD7"/>
    <w:rsid w:val="00974BB0"/>
    <w:rsid w:val="009A08C7"/>
    <w:rsid w:val="009A60CA"/>
    <w:rsid w:val="009A6E4F"/>
    <w:rsid w:val="009B51C9"/>
    <w:rsid w:val="009C40CE"/>
    <w:rsid w:val="009C4D5C"/>
    <w:rsid w:val="009D0A28"/>
    <w:rsid w:val="009D7C3E"/>
    <w:rsid w:val="009E31A6"/>
    <w:rsid w:val="009E765B"/>
    <w:rsid w:val="009F19E5"/>
    <w:rsid w:val="009F336E"/>
    <w:rsid w:val="009F3B54"/>
    <w:rsid w:val="009F7E6E"/>
    <w:rsid w:val="00A10F02"/>
    <w:rsid w:val="00A123E9"/>
    <w:rsid w:val="00A33127"/>
    <w:rsid w:val="00A53724"/>
    <w:rsid w:val="00A611CA"/>
    <w:rsid w:val="00A66FDE"/>
    <w:rsid w:val="00A814E6"/>
    <w:rsid w:val="00A82346"/>
    <w:rsid w:val="00A8361A"/>
    <w:rsid w:val="00A9671C"/>
    <w:rsid w:val="00AA1677"/>
    <w:rsid w:val="00AB247E"/>
    <w:rsid w:val="00AB6AAB"/>
    <w:rsid w:val="00AD4BCF"/>
    <w:rsid w:val="00AE6C19"/>
    <w:rsid w:val="00AF4A8E"/>
    <w:rsid w:val="00AF78D5"/>
    <w:rsid w:val="00B1063A"/>
    <w:rsid w:val="00B15449"/>
    <w:rsid w:val="00B21241"/>
    <w:rsid w:val="00B356AA"/>
    <w:rsid w:val="00B35A97"/>
    <w:rsid w:val="00B37827"/>
    <w:rsid w:val="00B47F9F"/>
    <w:rsid w:val="00B6029F"/>
    <w:rsid w:val="00B61E09"/>
    <w:rsid w:val="00B61EF1"/>
    <w:rsid w:val="00B85D55"/>
    <w:rsid w:val="00B9781E"/>
    <w:rsid w:val="00BB672C"/>
    <w:rsid w:val="00BC2C26"/>
    <w:rsid w:val="00BD5A3B"/>
    <w:rsid w:val="00BE0C22"/>
    <w:rsid w:val="00BF498F"/>
    <w:rsid w:val="00BF684F"/>
    <w:rsid w:val="00BF79F1"/>
    <w:rsid w:val="00C03035"/>
    <w:rsid w:val="00C07774"/>
    <w:rsid w:val="00C13762"/>
    <w:rsid w:val="00C275BC"/>
    <w:rsid w:val="00C27D05"/>
    <w:rsid w:val="00C33079"/>
    <w:rsid w:val="00C365F1"/>
    <w:rsid w:val="00C43B31"/>
    <w:rsid w:val="00C472BD"/>
    <w:rsid w:val="00C5030B"/>
    <w:rsid w:val="00C50536"/>
    <w:rsid w:val="00C55EB7"/>
    <w:rsid w:val="00C5605F"/>
    <w:rsid w:val="00C610C9"/>
    <w:rsid w:val="00C65629"/>
    <w:rsid w:val="00C65EC8"/>
    <w:rsid w:val="00C84142"/>
    <w:rsid w:val="00CA2194"/>
    <w:rsid w:val="00CA3D0C"/>
    <w:rsid w:val="00CB6651"/>
    <w:rsid w:val="00CB6887"/>
    <w:rsid w:val="00CC1C22"/>
    <w:rsid w:val="00CC315F"/>
    <w:rsid w:val="00CC423F"/>
    <w:rsid w:val="00CC61C5"/>
    <w:rsid w:val="00CD4C7B"/>
    <w:rsid w:val="00CE04AC"/>
    <w:rsid w:val="00CE2397"/>
    <w:rsid w:val="00CE642C"/>
    <w:rsid w:val="00CF041C"/>
    <w:rsid w:val="00D12518"/>
    <w:rsid w:val="00D1463E"/>
    <w:rsid w:val="00D22038"/>
    <w:rsid w:val="00D45717"/>
    <w:rsid w:val="00D50BA6"/>
    <w:rsid w:val="00D6502E"/>
    <w:rsid w:val="00D65455"/>
    <w:rsid w:val="00D738D6"/>
    <w:rsid w:val="00D80795"/>
    <w:rsid w:val="00D84FB8"/>
    <w:rsid w:val="00D87E00"/>
    <w:rsid w:val="00D908B4"/>
    <w:rsid w:val="00D9134D"/>
    <w:rsid w:val="00D97CD9"/>
    <w:rsid w:val="00DA69B8"/>
    <w:rsid w:val="00DA7A03"/>
    <w:rsid w:val="00DB1818"/>
    <w:rsid w:val="00DC309B"/>
    <w:rsid w:val="00DC4DA2"/>
    <w:rsid w:val="00DD2E8F"/>
    <w:rsid w:val="00DE1406"/>
    <w:rsid w:val="00DE384F"/>
    <w:rsid w:val="00DF2D25"/>
    <w:rsid w:val="00DF553B"/>
    <w:rsid w:val="00DF6D41"/>
    <w:rsid w:val="00E010A3"/>
    <w:rsid w:val="00E07838"/>
    <w:rsid w:val="00E10202"/>
    <w:rsid w:val="00E21164"/>
    <w:rsid w:val="00E26941"/>
    <w:rsid w:val="00E319B8"/>
    <w:rsid w:val="00E340BC"/>
    <w:rsid w:val="00E40EB3"/>
    <w:rsid w:val="00E51F8B"/>
    <w:rsid w:val="00E6147B"/>
    <w:rsid w:val="00E62835"/>
    <w:rsid w:val="00E645EA"/>
    <w:rsid w:val="00E66EDF"/>
    <w:rsid w:val="00E6706C"/>
    <w:rsid w:val="00E77645"/>
    <w:rsid w:val="00E852FF"/>
    <w:rsid w:val="00E90ABE"/>
    <w:rsid w:val="00EA1D56"/>
    <w:rsid w:val="00EA22F8"/>
    <w:rsid w:val="00EA246A"/>
    <w:rsid w:val="00EA27BC"/>
    <w:rsid w:val="00EB25FB"/>
    <w:rsid w:val="00EC408B"/>
    <w:rsid w:val="00EC4A25"/>
    <w:rsid w:val="00EC6A3B"/>
    <w:rsid w:val="00EC7FC4"/>
    <w:rsid w:val="00ED2F17"/>
    <w:rsid w:val="00EE0A1E"/>
    <w:rsid w:val="00EE3C43"/>
    <w:rsid w:val="00EE41E9"/>
    <w:rsid w:val="00EF2712"/>
    <w:rsid w:val="00EF731B"/>
    <w:rsid w:val="00F00F8F"/>
    <w:rsid w:val="00F025A2"/>
    <w:rsid w:val="00F04CC0"/>
    <w:rsid w:val="00F1044D"/>
    <w:rsid w:val="00F120A1"/>
    <w:rsid w:val="00F2026E"/>
    <w:rsid w:val="00F2210A"/>
    <w:rsid w:val="00F36BF9"/>
    <w:rsid w:val="00F37743"/>
    <w:rsid w:val="00F413A9"/>
    <w:rsid w:val="00F419A6"/>
    <w:rsid w:val="00F525AA"/>
    <w:rsid w:val="00F52DA0"/>
    <w:rsid w:val="00F52F9F"/>
    <w:rsid w:val="00F53F57"/>
    <w:rsid w:val="00F54A3D"/>
    <w:rsid w:val="00F653B8"/>
    <w:rsid w:val="00F76F8F"/>
    <w:rsid w:val="00F84B07"/>
    <w:rsid w:val="00F876F9"/>
    <w:rsid w:val="00F97E68"/>
    <w:rsid w:val="00FA1048"/>
    <w:rsid w:val="00FA1266"/>
    <w:rsid w:val="00FA16BE"/>
    <w:rsid w:val="00FA349C"/>
    <w:rsid w:val="00FA48CA"/>
    <w:rsid w:val="00FB2BEA"/>
    <w:rsid w:val="00FC1192"/>
    <w:rsid w:val="00FC1F12"/>
    <w:rsid w:val="00FC25B7"/>
    <w:rsid w:val="00FC2B61"/>
    <w:rsid w:val="00FC53BF"/>
    <w:rsid w:val="00FC6713"/>
    <w:rsid w:val="00FF2D69"/>
    <w:rsid w:val="00FF4BAA"/>
    <w:rsid w:val="00FF7BCD"/>
    <w:rsid w:val="02270FF2"/>
    <w:rsid w:val="061547E1"/>
    <w:rsid w:val="06AE0242"/>
    <w:rsid w:val="06BB7E73"/>
    <w:rsid w:val="07F33B3B"/>
    <w:rsid w:val="0C4D3009"/>
    <w:rsid w:val="0D79530F"/>
    <w:rsid w:val="0F6F680F"/>
    <w:rsid w:val="135D9FFE"/>
    <w:rsid w:val="13F65A5F"/>
    <w:rsid w:val="14382925"/>
    <w:rsid w:val="16CC56D7"/>
    <w:rsid w:val="1F56F40C"/>
    <w:rsid w:val="223AD810"/>
    <w:rsid w:val="29675DE8"/>
    <w:rsid w:val="2D480932"/>
    <w:rsid w:val="2DC5D7ED"/>
    <w:rsid w:val="2FB32D9F"/>
    <w:rsid w:val="2FBF370C"/>
    <w:rsid w:val="30C4FA4E"/>
    <w:rsid w:val="345A9E0E"/>
    <w:rsid w:val="34923099"/>
    <w:rsid w:val="37487066"/>
    <w:rsid w:val="384495FA"/>
    <w:rsid w:val="4009D633"/>
    <w:rsid w:val="40478883"/>
    <w:rsid w:val="42B6F19F"/>
    <w:rsid w:val="42DFD2AB"/>
    <w:rsid w:val="45A903FA"/>
    <w:rsid w:val="49C76194"/>
    <w:rsid w:val="4BF0E911"/>
    <w:rsid w:val="4D522E50"/>
    <w:rsid w:val="4E1074DF"/>
    <w:rsid w:val="4E7B5166"/>
    <w:rsid w:val="4ECFAC77"/>
    <w:rsid w:val="51A6A9EE"/>
    <w:rsid w:val="535F3412"/>
    <w:rsid w:val="5483E547"/>
    <w:rsid w:val="5535E2CD"/>
    <w:rsid w:val="5613941D"/>
    <w:rsid w:val="5A5D4327"/>
    <w:rsid w:val="5B2ECC72"/>
    <w:rsid w:val="5CFB2306"/>
    <w:rsid w:val="635BEC3A"/>
    <w:rsid w:val="66E36668"/>
    <w:rsid w:val="685DFFE5"/>
    <w:rsid w:val="68FB1A01"/>
    <w:rsid w:val="6C1D5207"/>
    <w:rsid w:val="6E08B19F"/>
    <w:rsid w:val="6FCCF4C0"/>
    <w:rsid w:val="74153CB7"/>
    <w:rsid w:val="74927C46"/>
    <w:rsid w:val="75DEF9DE"/>
    <w:rsid w:val="776F9524"/>
    <w:rsid w:val="7887F8D4"/>
    <w:rsid w:val="7DB8771C"/>
    <w:rsid w:val="7EE8C208"/>
    <w:rsid w:val="7F9FAD6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61EA9154-DBB8-4F42-BDC2-599FBE535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4763E4"/>
    <w:pPr>
      <w:spacing w:after="160" w:line="259" w:lineRule="auto"/>
      <w:ind w:left="720"/>
      <w:contextualSpacing/>
    </w:pPr>
    <w:rPr>
      <w:rFonts w:ascii="Calibri" w:eastAsia="Malgun Gothic" w:hAnsi="Calibr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763E4"/>
    <w:rPr>
      <w:rFonts w:ascii="Calibri" w:eastAsia="Malgun Gothic" w:hAnsi="Calibri"/>
      <w:sz w:val="22"/>
      <w:szCs w:val="22"/>
      <w:lang w:val="en-GB" w:eastAsia="ko-KR"/>
    </w:rPr>
  </w:style>
  <w:style w:type="character" w:styleId="UnresolvedMention">
    <w:name w:val="Unresolved Mention"/>
    <w:basedOn w:val="DefaultParagraphFont"/>
    <w:uiPriority w:val="99"/>
    <w:unhideWhenUsed/>
    <w:rsid w:val="00B35A97"/>
    <w:rPr>
      <w:color w:val="605E5C"/>
      <w:shd w:val="clear" w:color="auto" w:fill="E1DFDD"/>
    </w:rPr>
  </w:style>
  <w:style w:type="paragraph" w:styleId="Caption">
    <w:name w:val="caption"/>
    <w:basedOn w:val="Normal"/>
    <w:next w:val="Normal"/>
    <w:semiHidden/>
    <w:unhideWhenUsed/>
    <w:qFormat/>
    <w:rsid w:val="009B51C9"/>
    <w:pPr>
      <w:spacing w:after="200"/>
    </w:pPr>
    <w:rPr>
      <w:i/>
      <w:iCs/>
      <w:color w:val="44546A"/>
      <w:sz w:val="18"/>
      <w:szCs w:val="18"/>
    </w:rPr>
  </w:style>
  <w:style w:type="paragraph" w:customStyle="1" w:styleId="ListParagraph1">
    <w:name w:val="List Paragraph1"/>
    <w:basedOn w:val="Normal"/>
    <w:uiPriority w:val="99"/>
    <w:rsid w:val="009B51C9"/>
    <w:pPr>
      <w:widowControl w:val="0"/>
      <w:spacing w:after="0"/>
      <w:ind w:firstLineChars="200" w:firstLine="420"/>
      <w:jc w:val="both"/>
    </w:pPr>
    <w:rPr>
      <w:rFonts w:ascii="Calibri" w:hAnsi="Calibri" w:cs="Calibri"/>
      <w:kern w:val="2"/>
      <w:sz w:val="21"/>
      <w:szCs w:val="21"/>
      <w:lang w:val="en-US" w:eastAsia="zh-CN"/>
    </w:rPr>
  </w:style>
  <w:style w:type="paragraph" w:customStyle="1" w:styleId="paragraph">
    <w:name w:val="paragraph"/>
    <w:basedOn w:val="Normal"/>
    <w:rsid w:val="0061623A"/>
    <w:pPr>
      <w:spacing w:before="100" w:beforeAutospacing="1" w:after="100" w:afterAutospacing="1"/>
    </w:pPr>
    <w:rPr>
      <w:sz w:val="24"/>
      <w:szCs w:val="24"/>
      <w:lang w:eastAsia="en-GB"/>
    </w:rPr>
  </w:style>
  <w:style w:type="character" w:customStyle="1" w:styleId="normaltextrun">
    <w:name w:val="normaltextrun"/>
    <w:basedOn w:val="DefaultParagraphFont"/>
    <w:rsid w:val="0061623A"/>
  </w:style>
  <w:style w:type="character" w:customStyle="1" w:styleId="tabchar">
    <w:name w:val="tabchar"/>
    <w:basedOn w:val="DefaultParagraphFont"/>
    <w:rsid w:val="0061623A"/>
  </w:style>
  <w:style w:type="character" w:customStyle="1" w:styleId="eop">
    <w:name w:val="eop"/>
    <w:basedOn w:val="DefaultParagraphFont"/>
    <w:rsid w:val="0061623A"/>
  </w:style>
  <w:style w:type="character" w:styleId="CommentReference">
    <w:name w:val="annotation reference"/>
    <w:basedOn w:val="DefaultParagraphFont"/>
    <w:rsid w:val="00F525AA"/>
    <w:rPr>
      <w:sz w:val="16"/>
      <w:szCs w:val="16"/>
    </w:rPr>
  </w:style>
  <w:style w:type="paragraph" w:styleId="CommentText">
    <w:name w:val="annotation text"/>
    <w:basedOn w:val="Normal"/>
    <w:link w:val="CommentTextChar"/>
    <w:rsid w:val="00F525AA"/>
  </w:style>
  <w:style w:type="character" w:customStyle="1" w:styleId="CommentTextChar">
    <w:name w:val="Comment Text Char"/>
    <w:basedOn w:val="DefaultParagraphFont"/>
    <w:link w:val="CommentText"/>
    <w:rsid w:val="00F525AA"/>
    <w:rPr>
      <w:lang w:val="en-GB" w:eastAsia="en-US"/>
    </w:rPr>
  </w:style>
  <w:style w:type="paragraph" w:styleId="CommentSubject">
    <w:name w:val="annotation subject"/>
    <w:basedOn w:val="CommentText"/>
    <w:next w:val="CommentText"/>
    <w:link w:val="CommentSubjectChar"/>
    <w:rsid w:val="00F525AA"/>
    <w:rPr>
      <w:b/>
      <w:bCs/>
    </w:rPr>
  </w:style>
  <w:style w:type="character" w:customStyle="1" w:styleId="CommentSubjectChar">
    <w:name w:val="Comment Subject Char"/>
    <w:basedOn w:val="CommentTextChar"/>
    <w:link w:val="CommentSubject"/>
    <w:rsid w:val="00F525AA"/>
    <w:rPr>
      <w:b/>
      <w:bCs/>
      <w:lang w:val="en-GB" w:eastAsia="en-US"/>
    </w:rPr>
  </w:style>
  <w:style w:type="character" w:styleId="FollowedHyperlink">
    <w:name w:val="FollowedHyperlink"/>
    <w:basedOn w:val="DefaultParagraphFont"/>
    <w:rsid w:val="00C07774"/>
    <w:rPr>
      <w:color w:val="954F72" w:themeColor="followedHyperlink"/>
      <w:u w:val="single"/>
    </w:rPr>
  </w:style>
  <w:style w:type="character" w:styleId="Mention">
    <w:name w:val="Mention"/>
    <w:basedOn w:val="DefaultParagraphFont"/>
    <w:uiPriority w:val="99"/>
    <w:unhideWhenUsed/>
    <w:rsid w:val="00C077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0107">
      <w:bodyDiv w:val="1"/>
      <w:marLeft w:val="0"/>
      <w:marRight w:val="0"/>
      <w:marTop w:val="0"/>
      <w:marBottom w:val="0"/>
      <w:divBdr>
        <w:top w:val="none" w:sz="0" w:space="0" w:color="auto"/>
        <w:left w:val="none" w:sz="0" w:space="0" w:color="auto"/>
        <w:bottom w:val="none" w:sz="0" w:space="0" w:color="auto"/>
        <w:right w:val="none" w:sz="0" w:space="0" w:color="auto"/>
      </w:divBdr>
      <w:divsChild>
        <w:div w:id="1026951238">
          <w:marLeft w:val="0"/>
          <w:marRight w:val="0"/>
          <w:marTop w:val="0"/>
          <w:marBottom w:val="0"/>
          <w:divBdr>
            <w:top w:val="none" w:sz="0" w:space="0" w:color="auto"/>
            <w:left w:val="none" w:sz="0" w:space="0" w:color="auto"/>
            <w:bottom w:val="none" w:sz="0" w:space="0" w:color="auto"/>
            <w:right w:val="none" w:sz="0" w:space="0" w:color="auto"/>
          </w:divBdr>
        </w:div>
        <w:div w:id="1334064313">
          <w:marLeft w:val="0"/>
          <w:marRight w:val="0"/>
          <w:marTop w:val="0"/>
          <w:marBottom w:val="0"/>
          <w:divBdr>
            <w:top w:val="none" w:sz="0" w:space="0" w:color="auto"/>
            <w:left w:val="none" w:sz="0" w:space="0" w:color="auto"/>
            <w:bottom w:val="none" w:sz="0" w:space="0" w:color="auto"/>
            <w:right w:val="none" w:sz="0" w:space="0" w:color="auto"/>
          </w:divBdr>
        </w:div>
        <w:div w:id="1638335775">
          <w:marLeft w:val="0"/>
          <w:marRight w:val="0"/>
          <w:marTop w:val="0"/>
          <w:marBottom w:val="0"/>
          <w:divBdr>
            <w:top w:val="none" w:sz="0" w:space="0" w:color="auto"/>
            <w:left w:val="none" w:sz="0" w:space="0" w:color="auto"/>
            <w:bottom w:val="none" w:sz="0" w:space="0" w:color="auto"/>
            <w:right w:val="none" w:sz="0" w:space="0" w:color="auto"/>
          </w:divBdr>
        </w:div>
        <w:div w:id="1942452518">
          <w:marLeft w:val="0"/>
          <w:marRight w:val="0"/>
          <w:marTop w:val="0"/>
          <w:marBottom w:val="0"/>
          <w:divBdr>
            <w:top w:val="none" w:sz="0" w:space="0" w:color="auto"/>
            <w:left w:val="none" w:sz="0" w:space="0" w:color="auto"/>
            <w:bottom w:val="none" w:sz="0" w:space="0" w:color="auto"/>
            <w:right w:val="none" w:sz="0" w:space="0" w:color="auto"/>
          </w:divBdr>
        </w:div>
        <w:div w:id="1976830683">
          <w:marLeft w:val="0"/>
          <w:marRight w:val="0"/>
          <w:marTop w:val="0"/>
          <w:marBottom w:val="0"/>
          <w:divBdr>
            <w:top w:val="none" w:sz="0" w:space="0" w:color="auto"/>
            <w:left w:val="none" w:sz="0" w:space="0" w:color="auto"/>
            <w:bottom w:val="none" w:sz="0" w:space="0" w:color="auto"/>
            <w:right w:val="none" w:sz="0" w:space="0" w:color="auto"/>
          </w:divBdr>
        </w:div>
      </w:divsChild>
    </w:div>
    <w:div w:id="251471268">
      <w:bodyDiv w:val="1"/>
      <w:marLeft w:val="0"/>
      <w:marRight w:val="0"/>
      <w:marTop w:val="0"/>
      <w:marBottom w:val="0"/>
      <w:divBdr>
        <w:top w:val="none" w:sz="0" w:space="0" w:color="auto"/>
        <w:left w:val="none" w:sz="0" w:space="0" w:color="auto"/>
        <w:bottom w:val="none" w:sz="0" w:space="0" w:color="auto"/>
        <w:right w:val="none" w:sz="0" w:space="0" w:color="auto"/>
      </w:divBdr>
      <w:divsChild>
        <w:div w:id="442189015">
          <w:marLeft w:val="0"/>
          <w:marRight w:val="0"/>
          <w:marTop w:val="0"/>
          <w:marBottom w:val="0"/>
          <w:divBdr>
            <w:top w:val="none" w:sz="0" w:space="0" w:color="auto"/>
            <w:left w:val="none" w:sz="0" w:space="0" w:color="auto"/>
            <w:bottom w:val="none" w:sz="0" w:space="0" w:color="auto"/>
            <w:right w:val="none" w:sz="0" w:space="0" w:color="auto"/>
          </w:divBdr>
        </w:div>
        <w:div w:id="1675573102">
          <w:marLeft w:val="0"/>
          <w:marRight w:val="0"/>
          <w:marTop w:val="0"/>
          <w:marBottom w:val="0"/>
          <w:divBdr>
            <w:top w:val="none" w:sz="0" w:space="0" w:color="auto"/>
            <w:left w:val="none" w:sz="0" w:space="0" w:color="auto"/>
            <w:bottom w:val="none" w:sz="0" w:space="0" w:color="auto"/>
            <w:right w:val="none" w:sz="0" w:space="0" w:color="auto"/>
          </w:divBdr>
        </w:div>
      </w:divsChild>
    </w:div>
    <w:div w:id="650795373">
      <w:bodyDiv w:val="1"/>
      <w:marLeft w:val="0"/>
      <w:marRight w:val="0"/>
      <w:marTop w:val="0"/>
      <w:marBottom w:val="0"/>
      <w:divBdr>
        <w:top w:val="none" w:sz="0" w:space="0" w:color="auto"/>
        <w:left w:val="none" w:sz="0" w:space="0" w:color="auto"/>
        <w:bottom w:val="none" w:sz="0" w:space="0" w:color="auto"/>
        <w:right w:val="none" w:sz="0" w:space="0" w:color="auto"/>
      </w:divBdr>
    </w:div>
    <w:div w:id="775249824">
      <w:bodyDiv w:val="1"/>
      <w:marLeft w:val="0"/>
      <w:marRight w:val="0"/>
      <w:marTop w:val="0"/>
      <w:marBottom w:val="0"/>
      <w:divBdr>
        <w:top w:val="none" w:sz="0" w:space="0" w:color="auto"/>
        <w:left w:val="none" w:sz="0" w:space="0" w:color="auto"/>
        <w:bottom w:val="none" w:sz="0" w:space="0" w:color="auto"/>
        <w:right w:val="none" w:sz="0" w:space="0" w:color="auto"/>
      </w:divBdr>
      <w:divsChild>
        <w:div w:id="737829636">
          <w:marLeft w:val="1051"/>
          <w:marRight w:val="0"/>
          <w:marTop w:val="0"/>
          <w:marBottom w:val="59"/>
          <w:divBdr>
            <w:top w:val="none" w:sz="0" w:space="0" w:color="auto"/>
            <w:left w:val="none" w:sz="0" w:space="0" w:color="auto"/>
            <w:bottom w:val="none" w:sz="0" w:space="0" w:color="auto"/>
            <w:right w:val="none" w:sz="0" w:space="0" w:color="auto"/>
          </w:divBdr>
        </w:div>
      </w:divsChild>
    </w:div>
    <w:div w:id="936327745">
      <w:bodyDiv w:val="1"/>
      <w:marLeft w:val="0"/>
      <w:marRight w:val="0"/>
      <w:marTop w:val="0"/>
      <w:marBottom w:val="0"/>
      <w:divBdr>
        <w:top w:val="none" w:sz="0" w:space="0" w:color="auto"/>
        <w:left w:val="none" w:sz="0" w:space="0" w:color="auto"/>
        <w:bottom w:val="none" w:sz="0" w:space="0" w:color="auto"/>
        <w:right w:val="none" w:sz="0" w:space="0" w:color="auto"/>
      </w:divBdr>
    </w:div>
    <w:div w:id="147463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4e/Docs/RP-213594.zip"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2_RL2/TSGR2_119-e/LSin/R2-2209109.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5AIRPNAIUNRU-859666464-12588</_dlc_DocId>
    <_dlc_DocIdUrl xmlns="71c5aaf6-e6ce-465b-b873-5148d2a4c105">
      <Url>https://nokia.sharepoint.com/sites/c5g/e2earch/_layouts/15/DocIdRedir.aspx?ID=5AIRPNAIUNRU-859666464-12588</Url>
      <Description>5AIRPNAIUNRU-859666464-12588</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C9F74F4B-BDA1-4BDF-A4DB-0DADFD525537}">
  <ds:schemaRefs>
    <ds:schemaRef ds:uri="Microsoft.SharePoint.Taxonomy.ContentTypeSync"/>
  </ds:schemaRefs>
</ds:datastoreItem>
</file>

<file path=customXml/itemProps2.xml><?xml version="1.0" encoding="utf-8"?>
<ds:datastoreItem xmlns:ds="http://schemas.openxmlformats.org/officeDocument/2006/customXml" ds:itemID="{097F25AB-DDE3-48F9-9466-CB9DA046189F}">
  <ds:schemaRefs>
    <ds:schemaRef ds:uri="http://schemas.microsoft.com/sharepoint/events"/>
  </ds:schemaRefs>
</ds:datastoreItem>
</file>

<file path=customXml/itemProps3.xml><?xml version="1.0" encoding="utf-8"?>
<ds:datastoreItem xmlns:ds="http://schemas.openxmlformats.org/officeDocument/2006/customXml" ds:itemID="{0B4E36B6-7177-433A-BA36-1A5E60BA0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CD4CD-4B07-436B-9E28-A9F0DD585260}">
  <ds:schemaRefs>
    <ds:schemaRef ds:uri="http://schemas.microsoft.com/sharepoint/v3/contenttype/forms"/>
  </ds:schemaRefs>
</ds:datastoreItem>
</file>

<file path=customXml/itemProps5.xml><?xml version="1.0" encoding="utf-8"?>
<ds:datastoreItem xmlns:ds="http://schemas.openxmlformats.org/officeDocument/2006/customXml" ds:itemID="{3CC86533-B09F-4419-BFC6-00A7CE1E2B7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436</TotalTime>
  <Pages>4</Pages>
  <Words>1031</Words>
  <Characters>7375</Characters>
  <Application>Microsoft Office Word</Application>
  <DocSecurity>0</DocSecurity>
  <Lines>307</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8299</CharactersWithSpaces>
  <SharedDoc>false</SharedDoc>
  <HyperlinkBase/>
  <HLinks>
    <vt:vector size="12" baseType="variant">
      <vt:variant>
        <vt:i4>655406</vt:i4>
      </vt:variant>
      <vt:variant>
        <vt:i4>6</vt:i4>
      </vt:variant>
      <vt:variant>
        <vt:i4>0</vt:i4>
      </vt:variant>
      <vt:variant>
        <vt:i4>5</vt:i4>
      </vt:variant>
      <vt:variant>
        <vt:lpwstr>http://3gpp.org/ftp/tsg_ran/WG2_RL2/TSGR2_119-e/LSin/R2-2209109.zip</vt:lpwstr>
      </vt:variant>
      <vt:variant>
        <vt:lpwstr/>
      </vt:variant>
      <vt:variant>
        <vt:i4>3801182</vt:i4>
      </vt:variant>
      <vt:variant>
        <vt:i4>0</vt:i4>
      </vt:variant>
      <vt:variant>
        <vt:i4>0</vt:i4>
      </vt:variant>
      <vt:variant>
        <vt:i4>5</vt:i4>
      </vt:variant>
      <vt:variant>
        <vt:lpwstr>http://3gpp.org/ftp/tsg_ran/TSG_RAN/TSGR_94e/Docs/RP-213594.zip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 Malgorzata Tomala</cp:lastModifiedBy>
  <cp:revision>152</cp:revision>
  <dcterms:created xsi:type="dcterms:W3CDTF">2022-09-27T17:01:00Z</dcterms:created>
  <dcterms:modified xsi:type="dcterms:W3CDTF">2022-09-30T11:39:00Z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809cc9b9-31a8-40f7-9625-295af5d81b24</vt:lpwstr>
  </property>
</Properties>
</file>